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BF53" w14:textId="77777777" w:rsidR="00A5784B" w:rsidRDefault="00A5784B" w:rsidP="00A5784B">
      <w:pPr>
        <w:spacing w:after="0"/>
        <w:jc w:val="left"/>
      </w:pPr>
    </w:p>
    <w:tbl>
      <w:tblPr>
        <w:tblW w:w="9322" w:type="dxa"/>
        <w:tblInd w:w="-142" w:type="dxa"/>
        <w:tblLayout w:type="fixed"/>
        <w:tblLook w:val="0000" w:firstRow="0" w:lastRow="0" w:firstColumn="0" w:lastColumn="0" w:noHBand="0" w:noVBand="0"/>
      </w:tblPr>
      <w:tblGrid>
        <w:gridCol w:w="3369"/>
        <w:gridCol w:w="5953"/>
      </w:tblGrid>
      <w:tr w:rsidR="00A5784B" w:rsidRPr="003769B3" w14:paraId="215D3456" w14:textId="77777777" w:rsidTr="00896B41">
        <w:trPr>
          <w:trHeight w:val="390"/>
        </w:trPr>
        <w:tc>
          <w:tcPr>
            <w:tcW w:w="3369" w:type="dxa"/>
          </w:tcPr>
          <w:p w14:paraId="7BCAAFC3" w14:textId="77777777" w:rsidR="00A5784B" w:rsidRPr="003769B3" w:rsidRDefault="00A5784B" w:rsidP="00896B41">
            <w:pPr>
              <w:spacing w:before="60" w:after="60"/>
              <w:rPr>
                <w:b/>
                <w:szCs w:val="24"/>
              </w:rPr>
            </w:pPr>
            <w:r w:rsidRPr="003769B3">
              <w:rPr>
                <w:b/>
                <w:szCs w:val="24"/>
              </w:rPr>
              <w:t>Kohus</w:t>
            </w:r>
          </w:p>
        </w:tc>
        <w:tc>
          <w:tcPr>
            <w:tcW w:w="5953" w:type="dxa"/>
          </w:tcPr>
          <w:p w14:paraId="29C5B929" w14:textId="77777777" w:rsidR="00A5784B" w:rsidRPr="003769B3" w:rsidRDefault="00A5784B" w:rsidP="00896B41">
            <w:pPr>
              <w:spacing w:before="60" w:after="60"/>
              <w:rPr>
                <w:szCs w:val="24"/>
              </w:rPr>
            </w:pPr>
            <w:r w:rsidRPr="003769B3">
              <w:rPr>
                <w:szCs w:val="24"/>
              </w:rPr>
              <w:t>Tallinna Halduskohus</w:t>
            </w:r>
          </w:p>
        </w:tc>
      </w:tr>
      <w:tr w:rsidR="00A5784B" w:rsidRPr="003769B3" w14:paraId="5BC09FE5" w14:textId="77777777" w:rsidTr="00896B41">
        <w:trPr>
          <w:trHeight w:val="390"/>
        </w:trPr>
        <w:tc>
          <w:tcPr>
            <w:tcW w:w="3369" w:type="dxa"/>
          </w:tcPr>
          <w:p w14:paraId="0FAD83F0" w14:textId="77777777" w:rsidR="00A5784B" w:rsidRPr="003769B3" w:rsidRDefault="00A5784B" w:rsidP="00896B41">
            <w:pPr>
              <w:spacing w:before="60" w:after="60"/>
              <w:rPr>
                <w:b/>
                <w:szCs w:val="24"/>
              </w:rPr>
            </w:pPr>
            <w:r w:rsidRPr="003769B3">
              <w:rPr>
                <w:b/>
                <w:szCs w:val="24"/>
              </w:rPr>
              <w:t>Kohtunik</w:t>
            </w:r>
          </w:p>
        </w:tc>
        <w:tc>
          <w:tcPr>
            <w:tcW w:w="5953" w:type="dxa"/>
          </w:tcPr>
          <w:p w14:paraId="0EAB469D" w14:textId="77777777" w:rsidR="00A5784B" w:rsidRPr="003769B3" w:rsidRDefault="00C2031B" w:rsidP="00896B41">
            <w:pPr>
              <w:spacing w:before="60" w:after="60"/>
              <w:rPr>
                <w:szCs w:val="24"/>
              </w:rPr>
            </w:pPr>
            <w:r>
              <w:rPr>
                <w:szCs w:val="24"/>
              </w:rPr>
              <w:t>Tristan Ploom</w:t>
            </w:r>
          </w:p>
        </w:tc>
      </w:tr>
      <w:tr w:rsidR="00A5784B" w:rsidRPr="003769B3" w14:paraId="504A9B46" w14:textId="77777777" w:rsidTr="00896B41">
        <w:trPr>
          <w:trHeight w:val="390"/>
        </w:trPr>
        <w:tc>
          <w:tcPr>
            <w:tcW w:w="3369" w:type="dxa"/>
          </w:tcPr>
          <w:p w14:paraId="2C09D737" w14:textId="77777777" w:rsidR="00A5784B" w:rsidRPr="003769B3" w:rsidRDefault="00A5784B" w:rsidP="00896B41">
            <w:pPr>
              <w:spacing w:before="60" w:after="60"/>
              <w:rPr>
                <w:b/>
                <w:szCs w:val="24"/>
              </w:rPr>
            </w:pPr>
            <w:r w:rsidRPr="003769B3">
              <w:rPr>
                <w:b/>
                <w:szCs w:val="24"/>
              </w:rPr>
              <w:t>Määruse tegemise aeg ja koht</w:t>
            </w:r>
          </w:p>
        </w:tc>
        <w:tc>
          <w:tcPr>
            <w:tcW w:w="5953" w:type="dxa"/>
          </w:tcPr>
          <w:p w14:paraId="10921C0B" w14:textId="25E0D385" w:rsidR="00A5784B" w:rsidRPr="003769B3" w:rsidRDefault="0004082B" w:rsidP="00896B41">
            <w:pPr>
              <w:spacing w:before="60" w:after="60"/>
              <w:rPr>
                <w:szCs w:val="24"/>
              </w:rPr>
            </w:pPr>
            <w:r>
              <w:rPr>
                <w:szCs w:val="24"/>
              </w:rPr>
              <w:t>08.05</w:t>
            </w:r>
            <w:r w:rsidR="00F048F8">
              <w:rPr>
                <w:szCs w:val="24"/>
              </w:rPr>
              <w:t>.2025</w:t>
            </w:r>
            <w:r w:rsidR="00A5784B" w:rsidRPr="003769B3">
              <w:rPr>
                <w:szCs w:val="24"/>
              </w:rPr>
              <w:t>, Tallinn</w:t>
            </w:r>
          </w:p>
        </w:tc>
      </w:tr>
      <w:tr w:rsidR="00A5784B" w:rsidRPr="003769B3" w14:paraId="0E6289F9" w14:textId="77777777" w:rsidTr="003E2515">
        <w:trPr>
          <w:trHeight w:val="505"/>
        </w:trPr>
        <w:tc>
          <w:tcPr>
            <w:tcW w:w="3369" w:type="dxa"/>
          </w:tcPr>
          <w:p w14:paraId="5933BEFE" w14:textId="77777777" w:rsidR="00A5784B" w:rsidRPr="003769B3" w:rsidRDefault="00A5784B" w:rsidP="00896B41">
            <w:pPr>
              <w:spacing w:before="60" w:after="60"/>
              <w:rPr>
                <w:b/>
                <w:szCs w:val="24"/>
              </w:rPr>
            </w:pPr>
            <w:r w:rsidRPr="003769B3">
              <w:rPr>
                <w:b/>
                <w:szCs w:val="24"/>
              </w:rPr>
              <w:t>Haldusasja number</w:t>
            </w:r>
          </w:p>
        </w:tc>
        <w:tc>
          <w:tcPr>
            <w:tcW w:w="5953" w:type="dxa"/>
          </w:tcPr>
          <w:p w14:paraId="31330C10" w14:textId="6F1E7C1F" w:rsidR="00A5784B" w:rsidRPr="003769B3" w:rsidRDefault="00A5784B" w:rsidP="00957676">
            <w:pPr>
              <w:spacing w:before="60" w:after="60"/>
              <w:rPr>
                <w:szCs w:val="24"/>
              </w:rPr>
            </w:pPr>
            <w:r>
              <w:rPr>
                <w:szCs w:val="24"/>
              </w:rPr>
              <w:t>3-</w:t>
            </w:r>
            <w:r w:rsidR="00F048F8">
              <w:rPr>
                <w:szCs w:val="24"/>
              </w:rPr>
              <w:t>25-</w:t>
            </w:r>
            <w:r w:rsidR="0056754C">
              <w:rPr>
                <w:szCs w:val="24"/>
              </w:rPr>
              <w:t>88</w:t>
            </w:r>
            <w:r w:rsidR="008D0766">
              <w:rPr>
                <w:szCs w:val="24"/>
              </w:rPr>
              <w:t>7</w:t>
            </w:r>
          </w:p>
        </w:tc>
      </w:tr>
      <w:tr w:rsidR="00A5784B" w:rsidRPr="003769B3" w14:paraId="3BFFCE16" w14:textId="77777777" w:rsidTr="009162E3">
        <w:trPr>
          <w:trHeight w:val="1943"/>
        </w:trPr>
        <w:tc>
          <w:tcPr>
            <w:tcW w:w="3369" w:type="dxa"/>
          </w:tcPr>
          <w:p w14:paraId="7553C5DC" w14:textId="77777777" w:rsidR="00A5784B" w:rsidRPr="003769B3" w:rsidRDefault="00A5784B" w:rsidP="00896B41">
            <w:pPr>
              <w:spacing w:before="60" w:after="60"/>
              <w:rPr>
                <w:b/>
                <w:szCs w:val="24"/>
              </w:rPr>
            </w:pPr>
            <w:r w:rsidRPr="003769B3">
              <w:rPr>
                <w:b/>
                <w:szCs w:val="24"/>
              </w:rPr>
              <w:t>Haldusasi</w:t>
            </w:r>
          </w:p>
        </w:tc>
        <w:tc>
          <w:tcPr>
            <w:tcW w:w="5953" w:type="dxa"/>
          </w:tcPr>
          <w:p w14:paraId="29DA6FCD" w14:textId="592B9CE8" w:rsidR="00A5784B" w:rsidRPr="009702B4" w:rsidRDefault="00022B7B" w:rsidP="00957676">
            <w:pPr>
              <w:spacing w:before="60" w:after="60"/>
            </w:pPr>
            <w:r>
              <w:t xml:space="preserve">Ühispakkujate </w:t>
            </w:r>
            <w:r w:rsidR="008710BB">
              <w:t>Biotööd OÜ</w:t>
            </w:r>
            <w:r>
              <w:t xml:space="preserve">, OÜ </w:t>
            </w:r>
            <w:proofErr w:type="spellStart"/>
            <w:r>
              <w:t>Moscote</w:t>
            </w:r>
            <w:proofErr w:type="spellEnd"/>
            <w:r>
              <w:t xml:space="preserve">, Hankeosakond OÜ ja </w:t>
            </w:r>
            <w:proofErr w:type="spellStart"/>
            <w:r>
              <w:t>Huki</w:t>
            </w:r>
            <w:proofErr w:type="spellEnd"/>
            <w:r>
              <w:t xml:space="preserve"> OÜ</w:t>
            </w:r>
            <w:r w:rsidR="008710BB">
              <w:t xml:space="preserve"> </w:t>
            </w:r>
            <w:r w:rsidR="0056754C">
              <w:t xml:space="preserve">kaebus Riigimetsa Majandamise Keskuse riigihankes </w:t>
            </w:r>
            <w:r w:rsidR="008710BB" w:rsidRPr="008710BB">
              <w:t>„</w:t>
            </w:r>
            <w:r w:rsidR="008D0766" w:rsidRPr="008D0766">
              <w:t>Istutustööd Edela piirkonnas</w:t>
            </w:r>
            <w:r w:rsidR="008710BB" w:rsidRPr="008710BB">
              <w:t xml:space="preserve">“ </w:t>
            </w:r>
            <w:r w:rsidR="008710BB">
              <w:t>(</w:t>
            </w:r>
            <w:r w:rsidR="0056754C">
              <w:t>viitenumber</w:t>
            </w:r>
            <w:r w:rsidR="008710BB">
              <w:t xml:space="preserve"> </w:t>
            </w:r>
            <w:r w:rsidR="008D0766" w:rsidRPr="008D0766">
              <w:t>287244</w:t>
            </w:r>
            <w:r w:rsidR="0056754C">
              <w:t xml:space="preserve">) </w:t>
            </w:r>
            <w:r w:rsidR="008710BB">
              <w:t xml:space="preserve">14.02.2025 </w:t>
            </w:r>
            <w:r w:rsidR="0056754C">
              <w:t xml:space="preserve">tehtud otsuste ja riigihangete vaidlustuskomisjoni </w:t>
            </w:r>
            <w:r w:rsidR="008710BB">
              <w:t xml:space="preserve">28.03.2025 </w:t>
            </w:r>
            <w:r w:rsidR="0056754C">
              <w:t xml:space="preserve">otsuse vaidlustusasjas nr </w:t>
            </w:r>
            <w:r w:rsidR="008D0766" w:rsidRPr="008D0766">
              <w:t xml:space="preserve">44-25/287244 </w:t>
            </w:r>
            <w:r w:rsidR="0056754C">
              <w:t>tühistamiseks</w:t>
            </w:r>
          </w:p>
        </w:tc>
      </w:tr>
      <w:tr w:rsidR="00A5784B" w:rsidRPr="003769B3" w14:paraId="5CBCE8C5" w14:textId="77777777" w:rsidTr="009162E3">
        <w:trPr>
          <w:trHeight w:val="1702"/>
        </w:trPr>
        <w:tc>
          <w:tcPr>
            <w:tcW w:w="3369" w:type="dxa"/>
          </w:tcPr>
          <w:p w14:paraId="5F91E7D3" w14:textId="77777777" w:rsidR="00A5784B" w:rsidRPr="003769B3" w:rsidRDefault="00A5784B" w:rsidP="00896B41">
            <w:pPr>
              <w:spacing w:before="60" w:after="60"/>
              <w:rPr>
                <w:b/>
                <w:szCs w:val="24"/>
              </w:rPr>
            </w:pPr>
            <w:r w:rsidRPr="003769B3">
              <w:rPr>
                <w:b/>
                <w:szCs w:val="24"/>
              </w:rPr>
              <w:t>Menetlusosalised</w:t>
            </w:r>
          </w:p>
        </w:tc>
        <w:tc>
          <w:tcPr>
            <w:tcW w:w="5953" w:type="dxa"/>
          </w:tcPr>
          <w:p w14:paraId="7B776E94" w14:textId="5B9D0E29" w:rsidR="00A5784B" w:rsidRDefault="00997BAA" w:rsidP="000144BC">
            <w:pPr>
              <w:spacing w:before="60" w:after="60"/>
            </w:pPr>
            <w:r w:rsidRPr="00B6060B">
              <w:t>Kaebaja</w:t>
            </w:r>
            <w:r w:rsidR="00022B7B">
              <w:t>d</w:t>
            </w:r>
            <w:r w:rsidR="007F70F2">
              <w:t xml:space="preserve"> (vaidlustaja</w:t>
            </w:r>
            <w:r w:rsidR="00022B7B">
              <w:t>d</w:t>
            </w:r>
            <w:r w:rsidR="007F70F2">
              <w:t>)</w:t>
            </w:r>
            <w:r w:rsidRPr="00B6060B">
              <w:t xml:space="preserve">: </w:t>
            </w:r>
            <w:r w:rsidR="0056754C">
              <w:t>Biotööd OÜ</w:t>
            </w:r>
            <w:r w:rsidR="000144BC">
              <w:t>,</w:t>
            </w:r>
            <w:r w:rsidR="00022B7B">
              <w:t xml:space="preserve"> </w:t>
            </w:r>
            <w:r w:rsidR="00022B7B" w:rsidRPr="00022B7B">
              <w:t xml:space="preserve">OÜ </w:t>
            </w:r>
            <w:proofErr w:type="spellStart"/>
            <w:r w:rsidR="00022B7B" w:rsidRPr="00022B7B">
              <w:t>Moscote</w:t>
            </w:r>
            <w:proofErr w:type="spellEnd"/>
            <w:r w:rsidR="00022B7B" w:rsidRPr="00022B7B">
              <w:t xml:space="preserve">, Hankeosakond OÜ ja </w:t>
            </w:r>
            <w:proofErr w:type="spellStart"/>
            <w:r w:rsidR="00022B7B" w:rsidRPr="00022B7B">
              <w:t>Huki</w:t>
            </w:r>
            <w:proofErr w:type="spellEnd"/>
            <w:r w:rsidR="00022B7B" w:rsidRPr="00022B7B">
              <w:t xml:space="preserve"> OÜ</w:t>
            </w:r>
            <w:r w:rsidR="00022B7B">
              <w:t xml:space="preserve">, ühine </w:t>
            </w:r>
            <w:r w:rsidR="0056754C">
              <w:t xml:space="preserve">seaduslik esindaja </w:t>
            </w:r>
            <w:r w:rsidR="008710BB">
              <w:t xml:space="preserve">Hannes </w:t>
            </w:r>
            <w:proofErr w:type="spellStart"/>
            <w:r w:rsidR="008710BB">
              <w:t>Kiipus</w:t>
            </w:r>
            <w:proofErr w:type="spellEnd"/>
          </w:p>
          <w:p w14:paraId="2FDA174E" w14:textId="61B8D02C" w:rsidR="00F048F8" w:rsidRPr="008D0766" w:rsidRDefault="00997BAA" w:rsidP="00957676">
            <w:pPr>
              <w:spacing w:before="60" w:after="60"/>
            </w:pPr>
            <w:r>
              <w:t>Vastustaja</w:t>
            </w:r>
            <w:r w:rsidR="007F70F2">
              <w:t xml:space="preserve"> (hankija)</w:t>
            </w:r>
            <w:r>
              <w:t xml:space="preserve">: </w:t>
            </w:r>
            <w:r w:rsidR="0056754C">
              <w:t>Riigimetsa Majandamise Keskus</w:t>
            </w:r>
            <w:r w:rsidR="009162E3">
              <w:t>, volitatud esindaja vandeadvokaat Aarne Akerberg</w:t>
            </w:r>
          </w:p>
        </w:tc>
      </w:tr>
      <w:tr w:rsidR="00A5784B" w:rsidRPr="003769B3" w14:paraId="574EE736" w14:textId="77777777" w:rsidTr="00896B41">
        <w:trPr>
          <w:trHeight w:val="390"/>
        </w:trPr>
        <w:tc>
          <w:tcPr>
            <w:tcW w:w="3369" w:type="dxa"/>
          </w:tcPr>
          <w:p w14:paraId="563ABAD0" w14:textId="77777777" w:rsidR="00A5784B" w:rsidRPr="003769B3" w:rsidRDefault="00A5784B" w:rsidP="00896B41">
            <w:pPr>
              <w:spacing w:before="60" w:after="60"/>
              <w:rPr>
                <w:b/>
                <w:szCs w:val="24"/>
              </w:rPr>
            </w:pPr>
            <w:r w:rsidRPr="003769B3">
              <w:rPr>
                <w:b/>
                <w:szCs w:val="24"/>
              </w:rPr>
              <w:t xml:space="preserve">Menetlustoiming </w:t>
            </w:r>
          </w:p>
        </w:tc>
        <w:tc>
          <w:tcPr>
            <w:tcW w:w="5953" w:type="dxa"/>
          </w:tcPr>
          <w:p w14:paraId="261D90F6" w14:textId="71775531" w:rsidR="00A5784B" w:rsidRPr="003769B3" w:rsidRDefault="0004082B" w:rsidP="00896B41">
            <w:pPr>
              <w:spacing w:before="60" w:after="60"/>
              <w:rPr>
                <w:szCs w:val="24"/>
              </w:rPr>
            </w:pPr>
            <w:r>
              <w:t xml:space="preserve">Menetluse lõpetamine, </w:t>
            </w:r>
            <w:r w:rsidR="00B671F2">
              <w:t xml:space="preserve">riigilõivu tagastamine, </w:t>
            </w:r>
            <w:r>
              <w:t>kohtuistungi aja tühistamine</w:t>
            </w:r>
          </w:p>
        </w:tc>
      </w:tr>
      <w:tr w:rsidR="00A5784B" w:rsidRPr="003769B3" w14:paraId="34BF010E" w14:textId="77777777" w:rsidTr="003E2515">
        <w:trPr>
          <w:trHeight w:val="474"/>
        </w:trPr>
        <w:tc>
          <w:tcPr>
            <w:tcW w:w="3369" w:type="dxa"/>
          </w:tcPr>
          <w:p w14:paraId="0908E527" w14:textId="77777777" w:rsidR="00A5784B" w:rsidRPr="003769B3" w:rsidRDefault="00A5784B" w:rsidP="00896B41">
            <w:pPr>
              <w:spacing w:before="60" w:after="60"/>
              <w:rPr>
                <w:b/>
                <w:szCs w:val="24"/>
              </w:rPr>
            </w:pPr>
          </w:p>
        </w:tc>
        <w:tc>
          <w:tcPr>
            <w:tcW w:w="5953" w:type="dxa"/>
          </w:tcPr>
          <w:p w14:paraId="354BB72D" w14:textId="77777777" w:rsidR="00A5784B" w:rsidRPr="006C7C20" w:rsidRDefault="00A5784B" w:rsidP="00896B41">
            <w:pPr>
              <w:spacing w:before="60" w:after="60"/>
              <w:rPr>
                <w:szCs w:val="24"/>
              </w:rPr>
            </w:pPr>
          </w:p>
        </w:tc>
      </w:tr>
    </w:tbl>
    <w:p w14:paraId="1E984969" w14:textId="77777777" w:rsidR="00A5784B" w:rsidRPr="00745131" w:rsidRDefault="00A5784B" w:rsidP="00A5784B">
      <w:pPr>
        <w:jc w:val="left"/>
        <w:outlineLvl w:val="0"/>
        <w:rPr>
          <w:b/>
          <w:szCs w:val="24"/>
        </w:rPr>
      </w:pPr>
      <w:r w:rsidRPr="00745131">
        <w:rPr>
          <w:b/>
          <w:szCs w:val="24"/>
        </w:rPr>
        <w:t>RESOLUTSIOON</w:t>
      </w:r>
    </w:p>
    <w:p w14:paraId="549EBB2E" w14:textId="12F0BF07" w:rsidR="0004082B" w:rsidRDefault="0004082B" w:rsidP="00BB0DED">
      <w:pPr>
        <w:pStyle w:val="Loendilik"/>
        <w:numPr>
          <w:ilvl w:val="0"/>
          <w:numId w:val="1"/>
        </w:numPr>
        <w:tabs>
          <w:tab w:val="left" w:pos="426"/>
          <w:tab w:val="left" w:pos="9072"/>
        </w:tabs>
        <w:spacing w:after="100"/>
        <w:ind w:left="0" w:right="-23" w:firstLine="0"/>
        <w:contextualSpacing w:val="0"/>
        <w:rPr>
          <w:b/>
          <w:szCs w:val="24"/>
        </w:rPr>
      </w:pPr>
      <w:r>
        <w:rPr>
          <w:b/>
          <w:szCs w:val="24"/>
        </w:rPr>
        <w:t>Võtta vastu kaebusest loobumine ja lõpetada haldusasja nr 3-25-887 menetlus.</w:t>
      </w:r>
    </w:p>
    <w:p w14:paraId="18FF4CB0" w14:textId="6A011F91" w:rsidR="0004082B" w:rsidRDefault="0004082B" w:rsidP="00BB0DED">
      <w:pPr>
        <w:pStyle w:val="Loendilik"/>
        <w:numPr>
          <w:ilvl w:val="0"/>
          <w:numId w:val="1"/>
        </w:numPr>
        <w:tabs>
          <w:tab w:val="left" w:pos="426"/>
          <w:tab w:val="left" w:pos="9072"/>
        </w:tabs>
        <w:spacing w:after="100"/>
        <w:ind w:left="0" w:right="-23" w:firstLine="0"/>
        <w:contextualSpacing w:val="0"/>
        <w:rPr>
          <w:b/>
          <w:szCs w:val="24"/>
        </w:rPr>
      </w:pPr>
      <w:r>
        <w:rPr>
          <w:b/>
          <w:szCs w:val="24"/>
        </w:rPr>
        <w:t xml:space="preserve">Määruse jõustumisel tagastada kaebajatele riigilõiv </w:t>
      </w:r>
      <w:r w:rsidR="00B671F2">
        <w:rPr>
          <w:b/>
          <w:szCs w:val="24"/>
        </w:rPr>
        <w:t>650</w:t>
      </w:r>
      <w:r>
        <w:rPr>
          <w:b/>
          <w:szCs w:val="24"/>
        </w:rPr>
        <w:t xml:space="preserve"> eurot (s.o pool kaebuse esitamisel tasutud riigilõivust)</w:t>
      </w:r>
      <w:r w:rsidR="00B671F2">
        <w:rPr>
          <w:b/>
          <w:szCs w:val="24"/>
        </w:rPr>
        <w:t xml:space="preserve"> ning kanda see Biotööd OÜ pangakontole nr </w:t>
      </w:r>
      <w:r w:rsidR="00B671F2" w:rsidRPr="00B671F2">
        <w:rPr>
          <w:b/>
          <w:szCs w:val="24"/>
        </w:rPr>
        <w:t>EE034204278612897507</w:t>
      </w:r>
      <w:r w:rsidR="00B671F2">
        <w:rPr>
          <w:b/>
          <w:szCs w:val="24"/>
        </w:rPr>
        <w:t>.</w:t>
      </w:r>
    </w:p>
    <w:p w14:paraId="073FFDCB" w14:textId="63F19ACC" w:rsidR="0004082B" w:rsidRDefault="0004082B" w:rsidP="00BB0DED">
      <w:pPr>
        <w:pStyle w:val="Loendilik"/>
        <w:numPr>
          <w:ilvl w:val="0"/>
          <w:numId w:val="1"/>
        </w:numPr>
        <w:tabs>
          <w:tab w:val="left" w:pos="426"/>
          <w:tab w:val="left" w:pos="9072"/>
        </w:tabs>
        <w:spacing w:after="100"/>
        <w:ind w:left="0" w:right="-23" w:firstLine="0"/>
        <w:contextualSpacing w:val="0"/>
        <w:rPr>
          <w:b/>
          <w:szCs w:val="24"/>
        </w:rPr>
      </w:pPr>
      <w:r>
        <w:rPr>
          <w:b/>
          <w:szCs w:val="24"/>
        </w:rPr>
        <w:t xml:space="preserve">Mõista </w:t>
      </w:r>
      <w:r w:rsidR="00192AD4" w:rsidRPr="00192AD4">
        <w:rPr>
          <w:b/>
          <w:szCs w:val="24"/>
        </w:rPr>
        <w:t>Biotööd OÜ</w:t>
      </w:r>
      <w:r w:rsidR="00192AD4">
        <w:rPr>
          <w:b/>
          <w:szCs w:val="24"/>
        </w:rPr>
        <w:t>-lt</w:t>
      </w:r>
      <w:r w:rsidR="00192AD4" w:rsidRPr="00192AD4">
        <w:rPr>
          <w:b/>
          <w:szCs w:val="24"/>
        </w:rPr>
        <w:t>, OÜ</w:t>
      </w:r>
      <w:r w:rsidR="00192AD4">
        <w:rPr>
          <w:b/>
          <w:szCs w:val="24"/>
        </w:rPr>
        <w:t>-lt</w:t>
      </w:r>
      <w:r w:rsidR="00192AD4" w:rsidRPr="00192AD4">
        <w:rPr>
          <w:b/>
          <w:szCs w:val="24"/>
        </w:rPr>
        <w:t xml:space="preserve"> </w:t>
      </w:r>
      <w:proofErr w:type="spellStart"/>
      <w:r w:rsidR="00192AD4" w:rsidRPr="00192AD4">
        <w:rPr>
          <w:b/>
          <w:szCs w:val="24"/>
        </w:rPr>
        <w:t>Moscote</w:t>
      </w:r>
      <w:proofErr w:type="spellEnd"/>
      <w:r w:rsidR="00192AD4" w:rsidRPr="00192AD4">
        <w:rPr>
          <w:b/>
          <w:szCs w:val="24"/>
        </w:rPr>
        <w:t>, Hankeosakond OÜ</w:t>
      </w:r>
      <w:r w:rsidR="00192AD4">
        <w:rPr>
          <w:b/>
          <w:szCs w:val="24"/>
        </w:rPr>
        <w:t>-lt</w:t>
      </w:r>
      <w:r w:rsidR="00192AD4" w:rsidRPr="00192AD4">
        <w:rPr>
          <w:b/>
          <w:szCs w:val="24"/>
        </w:rPr>
        <w:t xml:space="preserve"> ja </w:t>
      </w:r>
      <w:proofErr w:type="spellStart"/>
      <w:r w:rsidR="00192AD4" w:rsidRPr="00192AD4">
        <w:rPr>
          <w:b/>
          <w:szCs w:val="24"/>
        </w:rPr>
        <w:t>Huki</w:t>
      </w:r>
      <w:proofErr w:type="spellEnd"/>
      <w:r w:rsidR="00192AD4" w:rsidRPr="00192AD4">
        <w:rPr>
          <w:b/>
          <w:szCs w:val="24"/>
        </w:rPr>
        <w:t xml:space="preserve"> OÜ</w:t>
      </w:r>
      <w:r w:rsidR="00192AD4">
        <w:rPr>
          <w:b/>
          <w:szCs w:val="24"/>
        </w:rPr>
        <w:t>-lt solidaarselt</w:t>
      </w:r>
      <w:r>
        <w:rPr>
          <w:b/>
          <w:szCs w:val="24"/>
        </w:rPr>
        <w:t xml:space="preserve"> Riigimetsa Majandamise Keskuse kasuks menetluskuludena välja </w:t>
      </w:r>
      <w:r w:rsidR="003E2515">
        <w:rPr>
          <w:b/>
          <w:szCs w:val="24"/>
        </w:rPr>
        <w:t xml:space="preserve">1200 </w:t>
      </w:r>
      <w:r w:rsidR="00192AD4">
        <w:rPr>
          <w:b/>
          <w:szCs w:val="24"/>
        </w:rPr>
        <w:t>eurot.</w:t>
      </w:r>
    </w:p>
    <w:p w14:paraId="5A1DCA7B" w14:textId="1867D2B0" w:rsidR="0004082B" w:rsidRDefault="0004082B" w:rsidP="00BB0DED">
      <w:pPr>
        <w:pStyle w:val="Loendilik"/>
        <w:numPr>
          <w:ilvl w:val="0"/>
          <w:numId w:val="1"/>
        </w:numPr>
        <w:tabs>
          <w:tab w:val="left" w:pos="426"/>
          <w:tab w:val="left" w:pos="9072"/>
        </w:tabs>
        <w:spacing w:after="100"/>
        <w:ind w:left="0" w:right="-23" w:firstLine="0"/>
        <w:contextualSpacing w:val="0"/>
        <w:rPr>
          <w:b/>
          <w:szCs w:val="24"/>
        </w:rPr>
      </w:pPr>
      <w:r>
        <w:rPr>
          <w:b/>
          <w:szCs w:val="24"/>
        </w:rPr>
        <w:t>Jätta menetlusosaliste muud võimalikud menetluskulud nende endi kanda.</w:t>
      </w:r>
    </w:p>
    <w:p w14:paraId="51765BC4" w14:textId="679B4E11" w:rsidR="007B5133" w:rsidRPr="0004082B" w:rsidRDefault="0004082B" w:rsidP="00BB0DED">
      <w:pPr>
        <w:pStyle w:val="Loendilik"/>
        <w:numPr>
          <w:ilvl w:val="0"/>
          <w:numId w:val="1"/>
        </w:numPr>
        <w:tabs>
          <w:tab w:val="left" w:pos="426"/>
          <w:tab w:val="left" w:pos="9072"/>
        </w:tabs>
        <w:spacing w:after="100"/>
        <w:ind w:left="0" w:right="-23" w:firstLine="0"/>
        <w:contextualSpacing w:val="0"/>
        <w:rPr>
          <w:b/>
          <w:szCs w:val="24"/>
        </w:rPr>
      </w:pPr>
      <w:r>
        <w:rPr>
          <w:b/>
          <w:szCs w:val="24"/>
        </w:rPr>
        <w:t>Tühistada Tallinna Halduskohtu 15.04.2025 määrusega määratud kohtuistungi aeg</w:t>
      </w:r>
      <w:r w:rsidR="008C32AC">
        <w:rPr>
          <w:b/>
          <w:szCs w:val="24"/>
        </w:rPr>
        <w:t xml:space="preserve"> </w:t>
      </w:r>
      <w:r w:rsidR="008C32AC">
        <w:rPr>
          <w:b/>
          <w:szCs w:val="24"/>
        </w:rPr>
        <w:t>09.05.2025</w:t>
      </w:r>
      <w:r>
        <w:rPr>
          <w:b/>
          <w:szCs w:val="24"/>
        </w:rPr>
        <w:t>.</w:t>
      </w:r>
    </w:p>
    <w:p w14:paraId="52D8A12A" w14:textId="77777777" w:rsidR="00BC376C" w:rsidRDefault="00BC376C" w:rsidP="00CE5A83">
      <w:pPr>
        <w:pStyle w:val="Loendilik"/>
        <w:tabs>
          <w:tab w:val="left" w:pos="426"/>
          <w:tab w:val="left" w:pos="9072"/>
        </w:tabs>
        <w:spacing w:after="0"/>
        <w:ind w:left="0" w:right="-23"/>
        <w:contextualSpacing w:val="0"/>
        <w:rPr>
          <w:b/>
          <w:szCs w:val="24"/>
        </w:rPr>
      </w:pPr>
    </w:p>
    <w:p w14:paraId="4A6565F6" w14:textId="77777777" w:rsidR="009A160B" w:rsidRDefault="009A160B" w:rsidP="00CE5A83">
      <w:pPr>
        <w:pStyle w:val="Loendilik"/>
        <w:tabs>
          <w:tab w:val="left" w:pos="426"/>
          <w:tab w:val="left" w:pos="9072"/>
        </w:tabs>
        <w:spacing w:after="0"/>
        <w:ind w:left="0" w:right="-23"/>
        <w:contextualSpacing w:val="0"/>
        <w:rPr>
          <w:b/>
          <w:szCs w:val="24"/>
        </w:rPr>
      </w:pPr>
    </w:p>
    <w:p w14:paraId="60BE49B0" w14:textId="77777777" w:rsidR="00A5784B" w:rsidRPr="00B11D9C" w:rsidRDefault="00A5784B" w:rsidP="00A5784B">
      <w:pPr>
        <w:pStyle w:val="Loendilik"/>
        <w:tabs>
          <w:tab w:val="left" w:pos="426"/>
          <w:tab w:val="left" w:pos="9072"/>
        </w:tabs>
        <w:ind w:left="0" w:right="-23"/>
        <w:contextualSpacing w:val="0"/>
        <w:rPr>
          <w:b/>
          <w:szCs w:val="24"/>
        </w:rPr>
      </w:pPr>
      <w:r w:rsidRPr="00B11D9C">
        <w:rPr>
          <w:b/>
          <w:szCs w:val="24"/>
        </w:rPr>
        <w:t>EDASIKAEBAMISE KORD</w:t>
      </w:r>
    </w:p>
    <w:p w14:paraId="0C83FB55" w14:textId="2368E5DF" w:rsidR="0004082B" w:rsidRDefault="0004082B" w:rsidP="0004082B">
      <w:pPr>
        <w:rPr>
          <w:szCs w:val="24"/>
        </w:rPr>
      </w:pPr>
      <w:r w:rsidRPr="008D3E07">
        <w:rPr>
          <w:szCs w:val="24"/>
        </w:rPr>
        <w:t xml:space="preserve">Määruse peale võib 10 päeva </w:t>
      </w:r>
      <w:r w:rsidRPr="003A1AEF">
        <w:rPr>
          <w:szCs w:val="24"/>
        </w:rPr>
        <w:t>jooksul määruse kättesaamisest arvates</w:t>
      </w:r>
      <w:r w:rsidRPr="008D3E07">
        <w:rPr>
          <w:szCs w:val="24"/>
        </w:rPr>
        <w:t xml:space="preserve"> esitada määruskaebuse Tallinna Ringkonnakohtule</w:t>
      </w:r>
      <w:r>
        <w:rPr>
          <w:szCs w:val="24"/>
        </w:rPr>
        <w:t xml:space="preserve"> </w:t>
      </w:r>
      <w:r w:rsidRPr="008D3E07">
        <w:rPr>
          <w:szCs w:val="24"/>
        </w:rPr>
        <w:t>(halduskohtumenetluse seadustiku (HKMS) § 278 l</w:t>
      </w:r>
      <w:r w:rsidR="00923927">
        <w:rPr>
          <w:szCs w:val="24"/>
        </w:rPr>
        <w:t>g 1 ja lg 2</w:t>
      </w:r>
      <w:r w:rsidRPr="008D3E07">
        <w:rPr>
          <w:szCs w:val="24"/>
        </w:rPr>
        <w:t>,  § 155 lg 5).</w:t>
      </w:r>
    </w:p>
    <w:p w14:paraId="3AB10966" w14:textId="77777777" w:rsidR="004743D7" w:rsidRDefault="004743D7" w:rsidP="00DF04BF">
      <w:pPr>
        <w:spacing w:after="120"/>
        <w:rPr>
          <w:b/>
          <w:szCs w:val="24"/>
        </w:rPr>
      </w:pPr>
    </w:p>
    <w:p w14:paraId="785EDDF9" w14:textId="31989682" w:rsidR="00A5784B" w:rsidRPr="003769B3" w:rsidRDefault="00A5784B" w:rsidP="00DF04BF">
      <w:pPr>
        <w:spacing w:after="120"/>
        <w:rPr>
          <w:b/>
          <w:szCs w:val="24"/>
        </w:rPr>
      </w:pPr>
      <w:r w:rsidRPr="003769B3">
        <w:rPr>
          <w:b/>
          <w:szCs w:val="24"/>
        </w:rPr>
        <w:lastRenderedPageBreak/>
        <w:t>ASJAOLUD</w:t>
      </w:r>
      <w:r>
        <w:rPr>
          <w:b/>
          <w:szCs w:val="24"/>
        </w:rPr>
        <w:t xml:space="preserve"> JA </w:t>
      </w:r>
      <w:r w:rsidR="0004082B">
        <w:rPr>
          <w:b/>
          <w:szCs w:val="24"/>
        </w:rPr>
        <w:t>KOHTU PÕHJENDUSED</w:t>
      </w:r>
    </w:p>
    <w:p w14:paraId="4F73EEA5" w14:textId="4A7C0D39" w:rsidR="0056754C" w:rsidRDefault="00B671F2" w:rsidP="00B671F2">
      <w:pPr>
        <w:pStyle w:val="DOKTEKST"/>
      </w:pPr>
      <w:r w:rsidRPr="00B671F2">
        <w:t xml:space="preserve">Tallinna Halduskohtu menetluses on Biotööd OÜ, OÜ </w:t>
      </w:r>
      <w:proofErr w:type="spellStart"/>
      <w:r w:rsidRPr="00B671F2">
        <w:t>Moscote</w:t>
      </w:r>
      <w:proofErr w:type="spellEnd"/>
      <w:r w:rsidRPr="00B671F2">
        <w:t xml:space="preserve">, Hankeosakond OÜ ja </w:t>
      </w:r>
      <w:proofErr w:type="spellStart"/>
      <w:r w:rsidRPr="00B671F2">
        <w:t>Huki</w:t>
      </w:r>
      <w:proofErr w:type="spellEnd"/>
      <w:r w:rsidRPr="00B671F2">
        <w:t xml:space="preserve"> OÜ kaebus Riigimetsa Majandamise Keskuse (RMK) riigihankes „Istutustööd Edela piirkonnas“ (viitenumber 287244) 14.02.2025 tehtud otsuste ja riigihangete vaidlustuskomisjoni 28.03.2025 otsuse vaidlustusasjas nr 44-25/287244 tühistamiseks</w:t>
      </w:r>
      <w:r w:rsidR="0056754C">
        <w:t>.</w:t>
      </w:r>
    </w:p>
    <w:p w14:paraId="1A73A067" w14:textId="4A46BFB6" w:rsidR="00B671F2" w:rsidRDefault="00B671F2" w:rsidP="00B671F2">
      <w:pPr>
        <w:pStyle w:val="DOKTEKST"/>
      </w:pPr>
      <w:r>
        <w:t xml:space="preserve">Vastusena Tallinna Halduskohtu 05.05.2025 kohtunõudele esitasid kaebajad </w:t>
      </w:r>
      <w:r w:rsidR="00501E25">
        <w:t xml:space="preserve">07.05.2025 </w:t>
      </w:r>
      <w:r>
        <w:t xml:space="preserve">kaebusest loobumise avalduse. </w:t>
      </w:r>
      <w:r w:rsidR="00501E25">
        <w:t xml:space="preserve">Avalduse kohaselt ei ole kaebajatel pärast seda, kui vastustaja 23.04.2025 kõik lepingud ära sõlmis, võimalik enam oma algset eesmärki, s.o jõuda vaidlustatud hanke osades ise lepingute sõlmimiseni, saavutada. Menetluskulud paluvad kaebajad jätta menetlusosaliste endi kanda, kuna tekkinud olukord ei olnud tingitud kaebajate tegevusest. </w:t>
      </w:r>
    </w:p>
    <w:p w14:paraId="43770AEB" w14:textId="77777777" w:rsidR="00B530F1" w:rsidRPr="005C26A1" w:rsidRDefault="00B530F1" w:rsidP="0020705B">
      <w:pPr>
        <w:pStyle w:val="DOKTEKST"/>
        <w:numPr>
          <w:ilvl w:val="0"/>
          <w:numId w:val="0"/>
        </w:numPr>
        <w:spacing w:after="0"/>
      </w:pPr>
    </w:p>
    <w:p w14:paraId="1B162149" w14:textId="4919D4B2" w:rsidR="008D25DA" w:rsidRPr="008D25DA" w:rsidRDefault="0004082B" w:rsidP="008D25DA">
      <w:pPr>
        <w:pStyle w:val="DOKTEKST"/>
        <w:numPr>
          <w:ilvl w:val="0"/>
          <w:numId w:val="0"/>
        </w:numPr>
        <w:rPr>
          <w:i/>
          <w:iCs/>
        </w:rPr>
      </w:pPr>
      <w:r>
        <w:rPr>
          <w:i/>
          <w:iCs/>
        </w:rPr>
        <w:t>Menetluse lõpetamine</w:t>
      </w:r>
    </w:p>
    <w:p w14:paraId="037E2799" w14:textId="77777777" w:rsidR="0004082B" w:rsidRDefault="0004082B" w:rsidP="0004082B">
      <w:pPr>
        <w:pStyle w:val="DOKTEKST"/>
      </w:pPr>
      <w:r>
        <w:t>HKMS § 153 lg 1 esimese lause kohaselt on kaebajal õigus kaebusest loobuda kuni kaebuse kohta tehtud lõpliku lahendi jõustumiseni, esitades selleks avalduse. HKMS § 155 lg 4 kohaselt võtab kohus loobumise vastu määrusega, millega ühtlasi lõpetab asja menetluse.</w:t>
      </w:r>
    </w:p>
    <w:p w14:paraId="7E351CE9" w14:textId="1B76E1FE" w:rsidR="00501E25" w:rsidRPr="00AB4A1E" w:rsidRDefault="0004082B" w:rsidP="0004082B">
      <w:pPr>
        <w:pStyle w:val="DOKTEKST"/>
      </w:pPr>
      <w:r w:rsidRPr="00AB4A1E">
        <w:t xml:space="preserve">Kohtu hinnangul ei esine asjaolusid, mis tingiksid kaebusest loobumise vastuvõtmisest keeldumise. </w:t>
      </w:r>
      <w:r w:rsidR="00501E25" w:rsidRPr="00AB4A1E">
        <w:t>Asjaolusid arvestades ei ole kaebusest loobumise tagajärgede täiendav selgitamine (vt HKMS § 155 lõige 4) vajalik. Kohtumenetluse kestel muutunud olukorra tõttu ei ole esialgse nõude menetlemine enam võimalik ning kaebaja</w:t>
      </w:r>
      <w:r w:rsidR="00AB4A1E" w:rsidRPr="00AB4A1E">
        <w:t>te</w:t>
      </w:r>
      <w:r w:rsidR="00501E25" w:rsidRPr="00AB4A1E">
        <w:t xml:space="preserve">l tuleks </w:t>
      </w:r>
      <w:r w:rsidR="00AB4A1E" w:rsidRPr="00AB4A1E">
        <w:t>ka juhul, kui nad kaebusest ei loobuks, kaebust muuta (</w:t>
      </w:r>
      <w:r w:rsidR="003A1AEF">
        <w:t>vrd</w:t>
      </w:r>
      <w:r w:rsidR="00AB4A1E" w:rsidRPr="00AB4A1E">
        <w:t xml:space="preserve"> Tallinna Halduskoh</w:t>
      </w:r>
      <w:r w:rsidR="003A1AEF">
        <w:t>tu</w:t>
      </w:r>
      <w:r w:rsidR="00AB4A1E" w:rsidRPr="00AB4A1E">
        <w:t xml:space="preserve"> 05.05.2025 kohtunõudes selgita</w:t>
      </w:r>
      <w:r w:rsidR="003A1AEF">
        <w:t>tut</w:t>
      </w:r>
      <w:r w:rsidR="00AB4A1E" w:rsidRPr="00AB4A1E">
        <w:t>).</w:t>
      </w:r>
    </w:p>
    <w:p w14:paraId="19C1C0F9" w14:textId="48236815" w:rsidR="0004082B" w:rsidRPr="00AB4A1E" w:rsidRDefault="0004082B" w:rsidP="00AB4A1E">
      <w:pPr>
        <w:pStyle w:val="DOKTEKST"/>
        <w:numPr>
          <w:ilvl w:val="0"/>
          <w:numId w:val="0"/>
        </w:numPr>
      </w:pPr>
      <w:r w:rsidRPr="00AB4A1E">
        <w:t>Asjaoludest tulenevalt ei ole enne menetluse lõpetamist vastustaja ärakuulamine vajalik.</w:t>
      </w:r>
    </w:p>
    <w:p w14:paraId="6E871040" w14:textId="77777777" w:rsidR="0004082B" w:rsidRPr="00AB4A1E" w:rsidRDefault="0004082B" w:rsidP="00AB4A1E">
      <w:pPr>
        <w:pStyle w:val="DOKTEKST"/>
        <w:numPr>
          <w:ilvl w:val="0"/>
          <w:numId w:val="0"/>
        </w:numPr>
      </w:pPr>
      <w:r w:rsidRPr="00AB4A1E">
        <w:t>Seega võtab kohus vastu kaebusest loobumise ning lõpetab haldusasja menetluse.</w:t>
      </w:r>
    </w:p>
    <w:p w14:paraId="4E8762E2" w14:textId="77777777" w:rsidR="0004082B" w:rsidRPr="00AB4A1E" w:rsidRDefault="0004082B" w:rsidP="0004082B">
      <w:pPr>
        <w:pStyle w:val="DOKTEKST"/>
      </w:pPr>
      <w:r w:rsidRPr="00AB4A1E">
        <w:t>Menetluse lõpetamise korral puudub kaebajal õigus pöörduda sama nõudega samal alusel esitatud kaebusega uuesti kohtu poole (HKMS § 155 lg 6, § 43 lg 1 punkt 2).</w:t>
      </w:r>
    </w:p>
    <w:p w14:paraId="163627BA" w14:textId="77777777" w:rsidR="0004082B" w:rsidRDefault="0004082B" w:rsidP="0020705B">
      <w:pPr>
        <w:pStyle w:val="DOKTEKST"/>
        <w:numPr>
          <w:ilvl w:val="0"/>
          <w:numId w:val="0"/>
        </w:numPr>
        <w:spacing w:after="0"/>
      </w:pPr>
    </w:p>
    <w:p w14:paraId="7BB69CBE" w14:textId="63F23C62" w:rsidR="0004082B" w:rsidRPr="0004082B" w:rsidRDefault="0004082B" w:rsidP="0004082B">
      <w:pPr>
        <w:pStyle w:val="DOKTEKST"/>
        <w:numPr>
          <w:ilvl w:val="0"/>
          <w:numId w:val="0"/>
        </w:numPr>
        <w:rPr>
          <w:i/>
          <w:iCs/>
        </w:rPr>
      </w:pPr>
      <w:r w:rsidRPr="0004082B">
        <w:rPr>
          <w:i/>
          <w:iCs/>
        </w:rPr>
        <w:t>Riigilõivu tagastamine</w:t>
      </w:r>
    </w:p>
    <w:p w14:paraId="3EA8974F" w14:textId="77777777" w:rsidR="0020705B" w:rsidRDefault="0004082B" w:rsidP="0004082B">
      <w:pPr>
        <w:pStyle w:val="DOKTEKST"/>
      </w:pPr>
      <w:r>
        <w:t>HKMS § 104 lg 6 punkti 2 kohaselt tagastatakse kaebusest loobumise korral pool asjas tasutud riigilõivust, kui riigilõivu suurus ületab 50 eurot.</w:t>
      </w:r>
      <w:r w:rsidR="00B671F2">
        <w:t xml:space="preserve"> </w:t>
      </w:r>
    </w:p>
    <w:p w14:paraId="248EC821" w14:textId="77777777" w:rsidR="0057517F" w:rsidRDefault="00B671F2" w:rsidP="00B671F2">
      <w:pPr>
        <w:pStyle w:val="DOKTEKST"/>
        <w:numPr>
          <w:ilvl w:val="0"/>
          <w:numId w:val="0"/>
        </w:numPr>
      </w:pPr>
      <w:r>
        <w:t>Kaebajad on tasunud kokku 1300 eurot riigilõivu. Seega tuleb kaebajatele tagastada (1300/2=) 650 eurot.</w:t>
      </w:r>
      <w:r w:rsidR="0057517F">
        <w:t xml:space="preserve"> </w:t>
      </w:r>
    </w:p>
    <w:p w14:paraId="36B5F5EE" w14:textId="128C1F05" w:rsidR="00B671F2" w:rsidRDefault="00B671F2" w:rsidP="00B671F2">
      <w:pPr>
        <w:pStyle w:val="DOKTEKST"/>
        <w:numPr>
          <w:ilvl w:val="0"/>
          <w:numId w:val="0"/>
        </w:numPr>
      </w:pPr>
      <w:r>
        <w:t>Tagastatav riigilõiv tuleb kaebajate taotluse kohaselt kanda Biotööd OÜ pangakontole.</w:t>
      </w:r>
    </w:p>
    <w:p w14:paraId="2F4B0807" w14:textId="77777777" w:rsidR="003E5049" w:rsidRDefault="003E5049" w:rsidP="0020705B">
      <w:pPr>
        <w:pStyle w:val="DOKTEKST"/>
        <w:numPr>
          <w:ilvl w:val="0"/>
          <w:numId w:val="0"/>
        </w:numPr>
        <w:spacing w:after="0"/>
        <w:rPr>
          <w:i/>
          <w:iCs/>
        </w:rPr>
      </w:pPr>
    </w:p>
    <w:p w14:paraId="5128E205" w14:textId="62DC0F7D" w:rsidR="003E5049" w:rsidRDefault="003E5049" w:rsidP="003E5049">
      <w:pPr>
        <w:pStyle w:val="DOKTEKST"/>
        <w:numPr>
          <w:ilvl w:val="0"/>
          <w:numId w:val="0"/>
        </w:numPr>
      </w:pPr>
      <w:r>
        <w:rPr>
          <w:i/>
          <w:iCs/>
        </w:rPr>
        <w:t>M</w:t>
      </w:r>
      <w:r w:rsidRPr="0004082B">
        <w:rPr>
          <w:i/>
          <w:iCs/>
        </w:rPr>
        <w:t>enetluskulud</w:t>
      </w:r>
    </w:p>
    <w:p w14:paraId="04232372" w14:textId="558101A4" w:rsidR="00AB4A1E" w:rsidRPr="00AB4A1E" w:rsidRDefault="0004082B" w:rsidP="00AB4A1E">
      <w:pPr>
        <w:pStyle w:val="DOKTEKST"/>
      </w:pPr>
      <w:r>
        <w:t>HKMS § 108 lg 7 lause 1 kohaselt kannab kaebaja, kes loobub kaebusest, menetluskulud.</w:t>
      </w:r>
      <w:r w:rsidR="00AB4A1E">
        <w:t xml:space="preserve"> </w:t>
      </w:r>
      <w:r w:rsidR="00AB4A1E" w:rsidRPr="00AB4A1E">
        <w:t xml:space="preserve">HKMS § 109 lg 6 järgi mõistab kohus välja üksnes vajalikud ja põhjendatud menetluskulud. </w:t>
      </w:r>
    </w:p>
    <w:p w14:paraId="257265AB" w14:textId="523C2AC2" w:rsidR="00AB4A1E" w:rsidRDefault="003E5049" w:rsidP="00B671F2">
      <w:pPr>
        <w:pStyle w:val="DOKTEKST"/>
      </w:pPr>
      <w:r w:rsidRPr="003E5049">
        <w:t>Kohtu hinnangul on VAKO otsuse peale kaebuse menetluskulude väljamõistmisel asjakohane kohtupraktika, mille kohaselt ei saa menetluskulud kõrgemas kohtuastmes olla üldjuhul suuremad kui eelmises kohtuastmes, sest kõrgema astme menetluses kulub õigusabi osutajal asjaga tegelemiseks eeldatavasti vähem aega (vt Riigikohtu halduskolleegiumi 28.06.2017 otsus asjas nr 3-3-1-73-16, punkt 47 ja seal viidatud kohtupraktika).</w:t>
      </w:r>
    </w:p>
    <w:p w14:paraId="62193E1F" w14:textId="0D7E8703" w:rsidR="00B671F2" w:rsidRDefault="00AB4A1E" w:rsidP="003E2515">
      <w:pPr>
        <w:pStyle w:val="DOKTEKST"/>
      </w:pPr>
      <w:r>
        <w:t>Vastustaja taotleb kokku 3164,96 euro (ilma käibemaksuta) suuruse menetluskulu väljamõistmist. Taotluse kohaselt kulus õigusabi osutamisele aega kokku 17 tundi ja 35 minutit.</w:t>
      </w:r>
    </w:p>
    <w:p w14:paraId="7BA76DE7" w14:textId="5EB3AE81" w:rsidR="003E5049" w:rsidRDefault="003E5049" w:rsidP="003E5049">
      <w:pPr>
        <w:pStyle w:val="DOKTEKST"/>
      </w:pPr>
      <w:r>
        <w:lastRenderedPageBreak/>
        <w:t xml:space="preserve">Kohtu hinnangul ei ole hankija </w:t>
      </w:r>
      <w:r w:rsidRPr="003E5049">
        <w:t>menetluskulude väljamõistmine kaebaja</w:t>
      </w:r>
      <w:r w:rsidR="00690875">
        <w:t>te</w:t>
      </w:r>
      <w:r w:rsidRPr="003E5049">
        <w:t>l</w:t>
      </w:r>
      <w:r w:rsidR="0057517F">
        <w:t>t</w:t>
      </w:r>
      <w:r w:rsidRPr="003E5049">
        <w:t xml:space="preserve"> välistatud, kuna kohtupraktikas on korduvalt mööndud, et riigihanke asjadest võrsunud vaidlusi ei saa käsitada haldusorgani igapäevase põhitegevusena, kuna riigihanke menetluse läbiviimine on halduse </w:t>
      </w:r>
      <w:proofErr w:type="spellStart"/>
      <w:r w:rsidRPr="003E5049">
        <w:t>kõrvalfunktsioon</w:t>
      </w:r>
      <w:proofErr w:type="spellEnd"/>
      <w:r w:rsidRPr="003E5049">
        <w:t xml:space="preserve"> (Riigikohtu 15.01.2015 otsus nr 3-3-1-68-14, punkt 33 ja 11.12.2020 otsus nr 3-20-1198, punktid 30-31)</w:t>
      </w:r>
      <w:r>
        <w:t>.</w:t>
      </w:r>
      <w:r w:rsidRPr="003E5049">
        <w:t xml:space="preserve"> </w:t>
      </w:r>
    </w:p>
    <w:p w14:paraId="4CCB04D9" w14:textId="77777777" w:rsidR="00690875" w:rsidRDefault="003E5049" w:rsidP="0057517F">
      <w:pPr>
        <w:pStyle w:val="DOKTEKST"/>
        <w:numPr>
          <w:ilvl w:val="0"/>
          <w:numId w:val="0"/>
        </w:numPr>
      </w:pPr>
      <w:r>
        <w:t>Seega ei nõustu kohus kaebajatega, et menetluskulud tuleks jätta tervikuna vastustaja kanda.</w:t>
      </w:r>
    </w:p>
    <w:p w14:paraId="1FD5B282" w14:textId="385A916C" w:rsidR="00AB4A1E" w:rsidRDefault="00690875" w:rsidP="00690875">
      <w:pPr>
        <w:pStyle w:val="DOKTEKST"/>
      </w:pPr>
      <w:r>
        <w:t xml:space="preserve">Kuigi kohtu hinnangul on vastustaja menetluskulude väljamõistmine kaebajatelt põhjendatud, </w:t>
      </w:r>
      <w:r w:rsidR="00AB4A1E">
        <w:t>leiab</w:t>
      </w:r>
      <w:r>
        <w:t xml:space="preserve"> kohus</w:t>
      </w:r>
      <w:r w:rsidR="00AB4A1E">
        <w:t xml:space="preserve">, et vastustaja õigusabile kulunud aeg ning sellega seotud menetluskulud on ülepaisutatud. </w:t>
      </w:r>
    </w:p>
    <w:p w14:paraId="07E1C3A4" w14:textId="338FA994" w:rsidR="00C43F24" w:rsidRDefault="00C43F24" w:rsidP="00AB4A1E">
      <w:pPr>
        <w:pStyle w:val="DOKTEKST"/>
        <w:numPr>
          <w:ilvl w:val="0"/>
          <w:numId w:val="0"/>
        </w:numPr>
      </w:pPr>
      <w:r>
        <w:t xml:space="preserve">Kohtu hinnangul ei saa kohtule esitatud hankelepingute sõlmimiseks nõustumise andmise lubamiseks taotluse koostamisele kulunud aega väidetud ulatuses (5 tundi ja 45 minutit) taotluse sisu ja mahtu arvestades tervikuna põhjendatuks pidada. </w:t>
      </w:r>
      <w:r w:rsidR="0057517F">
        <w:t>Seejuures</w:t>
      </w:r>
      <w:r>
        <w:t xml:space="preserve"> võtab kohus arvesse, et osaliselt kattuvate põhjendustega taotluse esitas vastustaja ka vaidlustusmenetluses (ning selle eest on VAKO vähemalt osaliselt vastustajale menetluskulud välja mõistnud)</w:t>
      </w:r>
      <w:r w:rsidR="000842AC">
        <w:t>.</w:t>
      </w:r>
    </w:p>
    <w:p w14:paraId="32D10BA7" w14:textId="77777777" w:rsidR="0057517F" w:rsidRDefault="00DF71FB" w:rsidP="00AB4A1E">
      <w:pPr>
        <w:pStyle w:val="DOKTEKST"/>
        <w:numPr>
          <w:ilvl w:val="0"/>
          <w:numId w:val="0"/>
        </w:numPr>
      </w:pPr>
      <w:r>
        <w:t xml:space="preserve">Põhjendatuks ei saa pidada ka määruskaebusele vastuse ning kaebuse läbi vaatamata jätmise taotluse koostamisele </w:t>
      </w:r>
      <w:r w:rsidR="0057517F">
        <w:t xml:space="preserve">väidetavalt </w:t>
      </w:r>
      <w:r>
        <w:t>kulunud aega. Määruskaebusele esitatud vastusest moodustavad sisulised vastuväited veidi vähem kui 2 lehekülge</w:t>
      </w:r>
      <w:r w:rsidR="00165F9D">
        <w:t xml:space="preserve">, mistõttu ei saa (isegi kui </w:t>
      </w:r>
      <w:r>
        <w:t xml:space="preserve">vastuse koostamiseks </w:t>
      </w:r>
      <w:r w:rsidR="00165F9D">
        <w:t xml:space="preserve">tuli täiendavaid asjaolusid välja selgitada) väidetavalt kulunud aega (määruskaebusega tutvumine 20 minutit ning vastuse koostamine 3,5 tundi) täies ulatuses põhjendatuks pidada. </w:t>
      </w:r>
    </w:p>
    <w:p w14:paraId="21CED267" w14:textId="27A8A920" w:rsidR="00DF71FB" w:rsidRDefault="00165F9D" w:rsidP="00AB4A1E">
      <w:pPr>
        <w:pStyle w:val="DOKTEKST"/>
        <w:numPr>
          <w:ilvl w:val="0"/>
          <w:numId w:val="0"/>
        </w:numPr>
      </w:pPr>
      <w:r>
        <w:t>Arvestades, et juba määruskaebusele vastates esitas vastustaja seisukohad kaebuse läbi vaatamata jätmise kohta, ei olnud nende tervikuna kordamine 02.05.2025 menetlusdokumendis enam vajalik.</w:t>
      </w:r>
      <w:r w:rsidR="0057517F">
        <w:t xml:space="preserve"> </w:t>
      </w:r>
    </w:p>
    <w:p w14:paraId="744DAE89" w14:textId="3F91AE27" w:rsidR="00B671F2" w:rsidRDefault="00AB4A1E" w:rsidP="00B671F2">
      <w:pPr>
        <w:pStyle w:val="DOKTEKST"/>
      </w:pPr>
      <w:r>
        <w:t xml:space="preserve">Kuivõrd kaebuses oli sisuliste põhjenduste maht tagasihoidlik, esitas vastustaja vastuväited kaebajate poolt vaidlustusmenetluses esitatud seisukohtadele. </w:t>
      </w:r>
      <w:r w:rsidR="00C43F24">
        <w:t>Seega oli suures osas tegemist nende seisukohtade kordamisega, mida vastustaja juba vaidlustusmenetluses esitas (ning mille eest VAKO vastustajale ka menetluskulud välja mõistis).</w:t>
      </w:r>
    </w:p>
    <w:p w14:paraId="1DBFCE57" w14:textId="26F65674" w:rsidR="00AB4A1E" w:rsidRDefault="00AB4A1E" w:rsidP="00B671F2">
      <w:pPr>
        <w:pStyle w:val="DOKTEKST"/>
      </w:pPr>
      <w:r>
        <w:t xml:space="preserve">Kõiki asjaolusid kogumis arvestades peab kohus vastustaja õigusabile kulunud aega ning sellega seotud menetluskulusid põhjendatuks </w:t>
      </w:r>
      <w:r w:rsidR="003A405B">
        <w:t>1800 euro</w:t>
      </w:r>
      <w:r>
        <w:t xml:space="preserve"> ulatuses.</w:t>
      </w:r>
    </w:p>
    <w:p w14:paraId="02EA61F0" w14:textId="7BA2BFFA" w:rsidR="003E2515" w:rsidRDefault="003A405B" w:rsidP="00192AD4">
      <w:pPr>
        <w:pStyle w:val="DOKTEKST"/>
      </w:pPr>
      <w:r>
        <w:t xml:space="preserve">Täiendavalt võtab kohus arvesse konkreetse vaidluse asjaolusid ning seda, et kaebajatest sõltumatult muutunud menetlusliku olukorra tõttu kadus </w:t>
      </w:r>
      <w:r w:rsidR="0057517F">
        <w:t>neil</w:t>
      </w:r>
      <w:r>
        <w:t xml:space="preserve"> igasugune võimalus </w:t>
      </w:r>
      <w:r w:rsidR="003E2515">
        <w:t>kaebuse algse</w:t>
      </w:r>
      <w:r>
        <w:t xml:space="preserve"> eesmärgi saavutamiseks</w:t>
      </w:r>
      <w:r w:rsidR="0057517F">
        <w:t xml:space="preserve"> ning eelduslikult omas see määravat tähendust kaebusest loobumise avalduse esitamisel.</w:t>
      </w:r>
    </w:p>
    <w:p w14:paraId="6E49255E" w14:textId="38C89AE0" w:rsidR="00192AD4" w:rsidRDefault="003A405B" w:rsidP="003E2515">
      <w:pPr>
        <w:pStyle w:val="DOKTEKST"/>
        <w:numPr>
          <w:ilvl w:val="0"/>
          <w:numId w:val="0"/>
        </w:numPr>
      </w:pPr>
      <w:r>
        <w:t xml:space="preserve">Seetõttu peab kohus </w:t>
      </w:r>
      <w:r w:rsidR="003E2515">
        <w:t xml:space="preserve">HKMS § 108 lõikele 11 tuginedes </w:t>
      </w:r>
      <w:r>
        <w:t>põhjendatuks vähendada kaebajatelt väljamõistetavate menetluskulude suurust 1200 euroni.</w:t>
      </w:r>
    </w:p>
    <w:p w14:paraId="07B4F2F5" w14:textId="77777777" w:rsidR="000842AC" w:rsidRDefault="000842AC" w:rsidP="000842AC">
      <w:pPr>
        <w:pStyle w:val="DOKTEKST"/>
      </w:pPr>
      <w:r w:rsidRPr="00192AD4">
        <w:t xml:space="preserve">Menetluskulude koos käibemaksuga väljamõistmise eelduseks on menetluskulude väljamõistmist taotleva menetlusosalise kinnitus, et ta ei ole käibemaksukohustuslane või ei saa kuludelt muul põhjusel käibemaksu tagasi arvestada. Kui avaldaja ei kinnita, et ta ei saa käibemaksu tagasi arvestada, mõistab kohus menetluskulud tema kasuks välja käibemaksuta (Riigikohtu 11.05.2022 määrus haldusasjas nr 3-20-663, punkt 23). </w:t>
      </w:r>
    </w:p>
    <w:p w14:paraId="0DDBE531" w14:textId="43D94738" w:rsidR="0057517F" w:rsidRPr="0057517F" w:rsidRDefault="00192AD4" w:rsidP="000842AC">
      <w:pPr>
        <w:pStyle w:val="DOKTEKST"/>
        <w:numPr>
          <w:ilvl w:val="0"/>
          <w:numId w:val="0"/>
        </w:numPr>
      </w:pPr>
      <w:r>
        <w:t xml:space="preserve">Vastustaja </w:t>
      </w:r>
      <w:r w:rsidRPr="003A405B">
        <w:rPr>
          <w:rFonts w:eastAsia="ArialMT"/>
          <w:color w:val="000000" w:themeColor="text1"/>
        </w:rPr>
        <w:t xml:space="preserve">ei ole kinnitust käibemaksu kohta esitanud, mistõttu tuleb tema õigusabikulu välja mõista ilma käibemaksuta. </w:t>
      </w:r>
    </w:p>
    <w:p w14:paraId="14493919" w14:textId="6FB85683" w:rsidR="0004082B" w:rsidRPr="00192AD4" w:rsidRDefault="00192AD4" w:rsidP="0057517F">
      <w:pPr>
        <w:pStyle w:val="DOKTEKST"/>
        <w:numPr>
          <w:ilvl w:val="0"/>
          <w:numId w:val="0"/>
        </w:numPr>
      </w:pPr>
      <w:r w:rsidRPr="003A405B">
        <w:rPr>
          <w:rFonts w:eastAsia="ArialMT"/>
          <w:color w:val="000000" w:themeColor="text1"/>
        </w:rPr>
        <w:t xml:space="preserve">Seega mõistab kohus kaebajatelt solidaarselt vastustaja kasuks menetluskuludena välja </w:t>
      </w:r>
      <w:r w:rsidR="003A405B">
        <w:rPr>
          <w:rFonts w:eastAsia="ArialMT"/>
          <w:color w:val="000000" w:themeColor="text1"/>
        </w:rPr>
        <w:t>1200</w:t>
      </w:r>
      <w:r w:rsidRPr="003A405B">
        <w:rPr>
          <w:rFonts w:eastAsia="ArialMT"/>
          <w:color w:val="000000" w:themeColor="text1"/>
        </w:rPr>
        <w:t xml:space="preserve"> eurot (ilma käibemaksuta).</w:t>
      </w:r>
    </w:p>
    <w:p w14:paraId="2DC110A0" w14:textId="77777777" w:rsidR="00192AD4" w:rsidRDefault="00192AD4" w:rsidP="0004082B">
      <w:pPr>
        <w:pStyle w:val="DOKTEKST"/>
        <w:numPr>
          <w:ilvl w:val="0"/>
          <w:numId w:val="0"/>
        </w:numPr>
        <w:rPr>
          <w:i/>
          <w:iCs/>
        </w:rPr>
      </w:pPr>
    </w:p>
    <w:p w14:paraId="71CD7166" w14:textId="60AE2834" w:rsidR="0004082B" w:rsidRPr="0004082B" w:rsidRDefault="0004082B" w:rsidP="0004082B">
      <w:pPr>
        <w:pStyle w:val="DOKTEKST"/>
        <w:numPr>
          <w:ilvl w:val="0"/>
          <w:numId w:val="0"/>
        </w:numPr>
        <w:rPr>
          <w:i/>
          <w:iCs/>
        </w:rPr>
      </w:pPr>
      <w:r w:rsidRPr="0004082B">
        <w:rPr>
          <w:i/>
          <w:iCs/>
        </w:rPr>
        <w:lastRenderedPageBreak/>
        <w:t>Kohtuistungi aja tühistamine</w:t>
      </w:r>
    </w:p>
    <w:p w14:paraId="24DCA6BD" w14:textId="26D91D56" w:rsidR="0004082B" w:rsidRDefault="0004082B" w:rsidP="0004082B">
      <w:pPr>
        <w:pStyle w:val="DOKTEKST"/>
      </w:pPr>
      <w:r>
        <w:t xml:space="preserve">Menetluse lõpetamise tõttu tühistab kohus </w:t>
      </w:r>
      <w:r w:rsidR="008C32AC">
        <w:t>kohtuistungi aja</w:t>
      </w:r>
      <w:r w:rsidR="008C32AC">
        <w:t xml:space="preserve"> 09.05.2025</w:t>
      </w:r>
      <w:r>
        <w:t>.</w:t>
      </w:r>
    </w:p>
    <w:p w14:paraId="1FCC7F34" w14:textId="77777777" w:rsidR="00312CBC" w:rsidRDefault="00312CBC" w:rsidP="00B5208C">
      <w:pPr>
        <w:pStyle w:val="DOKTEKST"/>
        <w:numPr>
          <w:ilvl w:val="0"/>
          <w:numId w:val="0"/>
        </w:numPr>
      </w:pPr>
    </w:p>
    <w:p w14:paraId="045CBFD7" w14:textId="77777777" w:rsidR="00A5784B" w:rsidRPr="00441A37" w:rsidRDefault="00441A37" w:rsidP="00441A37">
      <w:pPr>
        <w:spacing w:after="120"/>
        <w:ind w:right="-567"/>
        <w:rPr>
          <w:szCs w:val="24"/>
          <w:lang w:eastAsia="et-EE"/>
        </w:rPr>
      </w:pPr>
      <w:r>
        <w:rPr>
          <w:szCs w:val="24"/>
          <w:lang w:eastAsia="et-EE"/>
        </w:rPr>
        <w:t>(allkirjastatud digitaalselt)</w:t>
      </w:r>
    </w:p>
    <w:p w14:paraId="0CC0F514" w14:textId="417B43E9" w:rsidR="00D33710" w:rsidRDefault="002762EF" w:rsidP="008D6D3D">
      <w:pPr>
        <w:spacing w:after="0"/>
        <w:jc w:val="left"/>
      </w:pPr>
      <w:r>
        <w:t>Tristan Ploom</w:t>
      </w:r>
    </w:p>
    <w:sectPr w:rsidR="00D33710" w:rsidSect="00BA45EC">
      <w:headerReference w:type="default" r:id="rId7"/>
      <w:footerReference w:type="default" r:id="rId8"/>
      <w:headerReference w:type="first" r:id="rId9"/>
      <w:pgSz w:w="11906" w:h="16838" w:code="9"/>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A4071" w14:textId="77777777" w:rsidR="00A5784B" w:rsidRDefault="00A5784B" w:rsidP="00A5784B">
      <w:pPr>
        <w:spacing w:after="0"/>
      </w:pPr>
      <w:r>
        <w:separator/>
      </w:r>
    </w:p>
  </w:endnote>
  <w:endnote w:type="continuationSeparator" w:id="0">
    <w:p w14:paraId="3536CDBD" w14:textId="77777777" w:rsidR="00A5784B" w:rsidRDefault="00A5784B" w:rsidP="00A578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MT">
    <w:altName w:val="Arial"/>
    <w:charset w:val="00"/>
    <w:family w:val="swiss"/>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4005" w14:textId="77777777" w:rsidR="008D25DA" w:rsidRPr="00F90E1A" w:rsidRDefault="00D3758E" w:rsidP="00BA45EC">
    <w:pPr>
      <w:pStyle w:val="Jalus"/>
      <w:jc w:val="right"/>
      <w:rPr>
        <w:sz w:val="23"/>
        <w:szCs w:val="23"/>
      </w:rPr>
    </w:pPr>
    <w:r w:rsidRPr="00F76B32">
      <w:rPr>
        <w:rStyle w:val="Lehekljenumber"/>
        <w:sz w:val="23"/>
        <w:szCs w:val="23"/>
      </w:rPr>
      <w:fldChar w:fldCharType="begin"/>
    </w:r>
    <w:r w:rsidRPr="00F76B32">
      <w:rPr>
        <w:rStyle w:val="Lehekljenumber"/>
        <w:sz w:val="23"/>
        <w:szCs w:val="23"/>
      </w:rPr>
      <w:instrText xml:space="preserve">PAGE  </w:instrText>
    </w:r>
    <w:r w:rsidRPr="00F76B32">
      <w:rPr>
        <w:rStyle w:val="Lehekljenumber"/>
        <w:sz w:val="23"/>
        <w:szCs w:val="23"/>
      </w:rPr>
      <w:fldChar w:fldCharType="separate"/>
    </w:r>
    <w:r w:rsidR="0028530C">
      <w:rPr>
        <w:rStyle w:val="Lehekljenumber"/>
        <w:noProof/>
        <w:sz w:val="23"/>
        <w:szCs w:val="23"/>
      </w:rPr>
      <w:t>2</w:t>
    </w:r>
    <w:r w:rsidRPr="00F76B32">
      <w:rPr>
        <w:rStyle w:val="Lehekljenumber"/>
        <w:sz w:val="23"/>
        <w:szCs w:val="23"/>
      </w:rPr>
      <w:fldChar w:fldCharType="end"/>
    </w:r>
    <w:r w:rsidRPr="00F76B32">
      <w:rPr>
        <w:rStyle w:val="Lehekljenumber"/>
        <w:sz w:val="23"/>
        <w:szCs w:val="23"/>
      </w:rPr>
      <w:t>(</w:t>
    </w:r>
    <w:r w:rsidRPr="00F76B32">
      <w:rPr>
        <w:rStyle w:val="Lehekljenumber"/>
        <w:sz w:val="23"/>
        <w:szCs w:val="23"/>
      </w:rPr>
      <w:fldChar w:fldCharType="begin"/>
    </w:r>
    <w:r w:rsidRPr="00F76B32">
      <w:rPr>
        <w:rStyle w:val="Lehekljenumber"/>
        <w:sz w:val="23"/>
        <w:szCs w:val="23"/>
      </w:rPr>
      <w:instrText xml:space="preserve"> NUMPAGES </w:instrText>
    </w:r>
    <w:r w:rsidRPr="00F76B32">
      <w:rPr>
        <w:rStyle w:val="Lehekljenumber"/>
        <w:sz w:val="23"/>
        <w:szCs w:val="23"/>
      </w:rPr>
      <w:fldChar w:fldCharType="separate"/>
    </w:r>
    <w:r w:rsidR="0028530C">
      <w:rPr>
        <w:rStyle w:val="Lehekljenumber"/>
        <w:noProof/>
        <w:sz w:val="23"/>
        <w:szCs w:val="23"/>
      </w:rPr>
      <w:t>2</w:t>
    </w:r>
    <w:r w:rsidRPr="00F76B32">
      <w:rPr>
        <w:rStyle w:val="Lehekljenumber"/>
        <w:sz w:val="23"/>
        <w:szCs w:val="23"/>
      </w:rPr>
      <w:fldChar w:fldCharType="end"/>
    </w:r>
    <w:r w:rsidRPr="00F76B32">
      <w:rPr>
        <w:rStyle w:val="Lehekljenumber"/>
        <w:sz w:val="23"/>
        <w:szCs w:val="2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036CD" w14:textId="77777777" w:rsidR="00A5784B" w:rsidRDefault="00A5784B" w:rsidP="00A5784B">
      <w:pPr>
        <w:spacing w:after="0"/>
      </w:pPr>
      <w:r>
        <w:separator/>
      </w:r>
    </w:p>
  </w:footnote>
  <w:footnote w:type="continuationSeparator" w:id="0">
    <w:p w14:paraId="35D6587D" w14:textId="77777777" w:rsidR="00A5784B" w:rsidRDefault="00A5784B" w:rsidP="00A578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6B7B" w14:textId="77777777" w:rsidR="008D25DA" w:rsidRPr="00F90E1A" w:rsidRDefault="008D25DA" w:rsidP="00BA45EC">
    <w:pPr>
      <w:pStyle w:val="Pis"/>
      <w:jc w:val="right"/>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AC64" w14:textId="77777777" w:rsidR="008D25DA" w:rsidRPr="00883A36" w:rsidRDefault="00D3758E" w:rsidP="00BA45EC">
    <w:pPr>
      <w:pStyle w:val="Pis"/>
      <w:tabs>
        <w:tab w:val="clear" w:pos="9072"/>
        <w:tab w:val="left" w:pos="5700"/>
      </w:tabs>
      <w:jc w:val="center"/>
      <w:rPr>
        <w:b/>
        <w:noProof/>
      </w:rPr>
    </w:pPr>
    <w:r>
      <w:rPr>
        <w:noProof/>
        <w:lang w:eastAsia="et-EE"/>
      </w:rPr>
      <w:drawing>
        <wp:inline distT="0" distB="0" distL="0" distR="0" wp14:anchorId="1DE9F8C2" wp14:editId="33F8F88E">
          <wp:extent cx="742950" cy="819150"/>
          <wp:effectExtent l="0" t="0" r="0" b="0"/>
          <wp:docPr id="1487061438" name="Pilt 148706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inline>
      </w:drawing>
    </w:r>
  </w:p>
  <w:p w14:paraId="53D3388A" w14:textId="77777777" w:rsidR="008D25DA" w:rsidRPr="00883A36" w:rsidRDefault="008D25DA" w:rsidP="00BA45EC">
    <w:pPr>
      <w:tabs>
        <w:tab w:val="center" w:pos="4394"/>
      </w:tabs>
      <w:jc w:val="center"/>
      <w:rPr>
        <w:noProof/>
        <w:sz w:val="22"/>
      </w:rPr>
    </w:pPr>
  </w:p>
  <w:p w14:paraId="692CF985" w14:textId="77777777" w:rsidR="008D25DA" w:rsidRPr="00F90E1A" w:rsidRDefault="00D3758E" w:rsidP="00BA45EC">
    <w:pPr>
      <w:pStyle w:val="Pis"/>
      <w:tabs>
        <w:tab w:val="center" w:pos="4320"/>
        <w:tab w:val="center" w:pos="4394"/>
      </w:tabs>
      <w:jc w:val="center"/>
      <w:rPr>
        <w:noProof/>
        <w:spacing w:val="80"/>
        <w:lang w:val="fi-FI"/>
      </w:rPr>
    </w:pPr>
    <w:r w:rsidRPr="00D24189">
      <w:rPr>
        <w:noProof/>
        <w:spacing w:val="80"/>
        <w:sz w:val="44"/>
        <w:szCs w:val="44"/>
        <w:lang w:val="fi-FI"/>
      </w:rPr>
      <w:t>KOHTUMÄÄRUS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E58"/>
    <w:multiLevelType w:val="hybridMultilevel"/>
    <w:tmpl w:val="1550DFE8"/>
    <w:lvl w:ilvl="0" w:tplc="0AC6BB9E">
      <w:start w:val="8"/>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15:restartNumberingAfterBreak="0">
    <w:nsid w:val="073A6358"/>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900D2"/>
    <w:multiLevelType w:val="hybridMultilevel"/>
    <w:tmpl w:val="1D28D8CC"/>
    <w:lvl w:ilvl="0" w:tplc="C39CBF5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48F5C77"/>
    <w:multiLevelType w:val="hybridMultilevel"/>
    <w:tmpl w:val="AE789FE6"/>
    <w:lvl w:ilvl="0" w:tplc="35320CA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DE21A3"/>
    <w:multiLevelType w:val="hybridMultilevel"/>
    <w:tmpl w:val="B8F899B6"/>
    <w:lvl w:ilvl="0" w:tplc="CC28D3A4">
      <w:start w:val="7"/>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AA08E2"/>
    <w:multiLevelType w:val="hybridMultilevel"/>
    <w:tmpl w:val="38522E88"/>
    <w:lvl w:ilvl="0" w:tplc="8DDCA0B8">
      <w:start w:val="1"/>
      <w:numFmt w:val="decimal"/>
      <w:lvlText w:val="%1."/>
      <w:lvlJc w:val="left"/>
      <w:pPr>
        <w:ind w:left="720" w:hanging="360"/>
      </w:pPr>
      <w:rPr>
        <w:rFonts w:hint="default"/>
        <w:b/>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CA77DC"/>
    <w:multiLevelType w:val="hybridMultilevel"/>
    <w:tmpl w:val="3D320374"/>
    <w:lvl w:ilvl="0" w:tplc="D22204D6">
      <w:start w:val="1"/>
      <w:numFmt w:val="decimal"/>
      <w:suff w:val="space"/>
      <w:lvlText w:val="%1."/>
      <w:lvlJc w:val="left"/>
      <w:pPr>
        <w:ind w:left="36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E3E2AAC"/>
    <w:multiLevelType w:val="hybridMultilevel"/>
    <w:tmpl w:val="37308B4A"/>
    <w:lvl w:ilvl="0" w:tplc="47FE5B54">
      <w:start w:val="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3BD582A"/>
    <w:multiLevelType w:val="hybridMultilevel"/>
    <w:tmpl w:val="91D642F0"/>
    <w:lvl w:ilvl="0" w:tplc="6D02861E">
      <w:start w:val="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4ED7B1D"/>
    <w:multiLevelType w:val="multilevel"/>
    <w:tmpl w:val="2542DF66"/>
    <w:lvl w:ilvl="0">
      <w:start w:val="1"/>
      <w:numFmt w:val="decimal"/>
      <w:pStyle w:val="DOKTEKST"/>
      <w:suff w:val="space"/>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1397489">
    <w:abstractNumId w:val="1"/>
  </w:num>
  <w:num w:numId="2" w16cid:durableId="417408564">
    <w:abstractNumId w:val="5"/>
  </w:num>
  <w:num w:numId="3" w16cid:durableId="1825466952">
    <w:abstractNumId w:val="9"/>
  </w:num>
  <w:num w:numId="4" w16cid:durableId="576521533">
    <w:abstractNumId w:val="6"/>
  </w:num>
  <w:num w:numId="5" w16cid:durableId="1391809760">
    <w:abstractNumId w:val="2"/>
  </w:num>
  <w:num w:numId="6" w16cid:durableId="622539255">
    <w:abstractNumId w:val="3"/>
  </w:num>
  <w:num w:numId="7" w16cid:durableId="728656029">
    <w:abstractNumId w:val="7"/>
  </w:num>
  <w:num w:numId="8" w16cid:durableId="370956581">
    <w:abstractNumId w:val="8"/>
  </w:num>
  <w:num w:numId="9" w16cid:durableId="3561410">
    <w:abstractNumId w:val="4"/>
  </w:num>
  <w:num w:numId="10" w16cid:durableId="442042671">
    <w:abstractNumId w:val="0"/>
  </w:num>
  <w:num w:numId="11" w16cid:durableId="1322125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0661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84B"/>
    <w:rsid w:val="00001290"/>
    <w:rsid w:val="00010500"/>
    <w:rsid w:val="00011427"/>
    <w:rsid w:val="000144BC"/>
    <w:rsid w:val="000144E2"/>
    <w:rsid w:val="00020DEE"/>
    <w:rsid w:val="00022B7B"/>
    <w:rsid w:val="000257E2"/>
    <w:rsid w:val="0004082B"/>
    <w:rsid w:val="00050200"/>
    <w:rsid w:val="000655B4"/>
    <w:rsid w:val="00072173"/>
    <w:rsid w:val="000842AC"/>
    <w:rsid w:val="00090464"/>
    <w:rsid w:val="00093585"/>
    <w:rsid w:val="000A5E72"/>
    <w:rsid w:val="000A76D1"/>
    <w:rsid w:val="000B3293"/>
    <w:rsid w:val="000D5AA2"/>
    <w:rsid w:val="000D6711"/>
    <w:rsid w:val="000E03D4"/>
    <w:rsid w:val="000F17CB"/>
    <w:rsid w:val="000F2831"/>
    <w:rsid w:val="00106D1F"/>
    <w:rsid w:val="00114ABC"/>
    <w:rsid w:val="00123133"/>
    <w:rsid w:val="001336EB"/>
    <w:rsid w:val="0014590A"/>
    <w:rsid w:val="00150F5D"/>
    <w:rsid w:val="00156A98"/>
    <w:rsid w:val="0016298D"/>
    <w:rsid w:val="00165F9D"/>
    <w:rsid w:val="00173351"/>
    <w:rsid w:val="00181809"/>
    <w:rsid w:val="00183133"/>
    <w:rsid w:val="00186B6D"/>
    <w:rsid w:val="00192AD4"/>
    <w:rsid w:val="00197153"/>
    <w:rsid w:val="001A15AA"/>
    <w:rsid w:val="001B3E4D"/>
    <w:rsid w:val="001C04B4"/>
    <w:rsid w:val="001C7C07"/>
    <w:rsid w:val="001E3239"/>
    <w:rsid w:val="001E3951"/>
    <w:rsid w:val="001F268D"/>
    <w:rsid w:val="001F2D92"/>
    <w:rsid w:val="001F6284"/>
    <w:rsid w:val="00204C05"/>
    <w:rsid w:val="0020705B"/>
    <w:rsid w:val="00233246"/>
    <w:rsid w:val="002449CA"/>
    <w:rsid w:val="00246D2D"/>
    <w:rsid w:val="00263D3E"/>
    <w:rsid w:val="002762EF"/>
    <w:rsid w:val="0028530C"/>
    <w:rsid w:val="002858A5"/>
    <w:rsid w:val="0029250E"/>
    <w:rsid w:val="00295BDD"/>
    <w:rsid w:val="00296D42"/>
    <w:rsid w:val="002A195E"/>
    <w:rsid w:val="002B0545"/>
    <w:rsid w:val="002B303A"/>
    <w:rsid w:val="002D1F2D"/>
    <w:rsid w:val="002D4D0F"/>
    <w:rsid w:val="002D5CCE"/>
    <w:rsid w:val="002E7D41"/>
    <w:rsid w:val="002F5C9A"/>
    <w:rsid w:val="00312CBC"/>
    <w:rsid w:val="003504E7"/>
    <w:rsid w:val="003608B8"/>
    <w:rsid w:val="00375ED8"/>
    <w:rsid w:val="00391D77"/>
    <w:rsid w:val="00397F79"/>
    <w:rsid w:val="003A1AEF"/>
    <w:rsid w:val="003A27C3"/>
    <w:rsid w:val="003A405B"/>
    <w:rsid w:val="003C62D1"/>
    <w:rsid w:val="003E2515"/>
    <w:rsid w:val="003E5049"/>
    <w:rsid w:val="003F4079"/>
    <w:rsid w:val="003F49C4"/>
    <w:rsid w:val="0040171F"/>
    <w:rsid w:val="00405DC0"/>
    <w:rsid w:val="00415032"/>
    <w:rsid w:val="00420BEA"/>
    <w:rsid w:val="00433C71"/>
    <w:rsid w:val="00441A37"/>
    <w:rsid w:val="00446875"/>
    <w:rsid w:val="004743D7"/>
    <w:rsid w:val="00476BBC"/>
    <w:rsid w:val="00486F4E"/>
    <w:rsid w:val="0049316C"/>
    <w:rsid w:val="004934A3"/>
    <w:rsid w:val="004B7317"/>
    <w:rsid w:val="004C3856"/>
    <w:rsid w:val="004F052B"/>
    <w:rsid w:val="00501E25"/>
    <w:rsid w:val="005308AC"/>
    <w:rsid w:val="00532CE0"/>
    <w:rsid w:val="00541056"/>
    <w:rsid w:val="005607CF"/>
    <w:rsid w:val="005618A8"/>
    <w:rsid w:val="0056754C"/>
    <w:rsid w:val="00570CF2"/>
    <w:rsid w:val="0057517F"/>
    <w:rsid w:val="00577CD9"/>
    <w:rsid w:val="0059784A"/>
    <w:rsid w:val="00597D3F"/>
    <w:rsid w:val="005B0E80"/>
    <w:rsid w:val="005B2357"/>
    <w:rsid w:val="005C26A1"/>
    <w:rsid w:val="005C75C0"/>
    <w:rsid w:val="005D6374"/>
    <w:rsid w:val="005D6999"/>
    <w:rsid w:val="005F5C44"/>
    <w:rsid w:val="0060456B"/>
    <w:rsid w:val="00607FA9"/>
    <w:rsid w:val="00615DDE"/>
    <w:rsid w:val="00615F81"/>
    <w:rsid w:val="00621C8C"/>
    <w:rsid w:val="00632001"/>
    <w:rsid w:val="0063475E"/>
    <w:rsid w:val="00655FA1"/>
    <w:rsid w:val="006720FB"/>
    <w:rsid w:val="00672FAB"/>
    <w:rsid w:val="00690875"/>
    <w:rsid w:val="00695722"/>
    <w:rsid w:val="006B360E"/>
    <w:rsid w:val="006B6B54"/>
    <w:rsid w:val="006C18AE"/>
    <w:rsid w:val="006C3730"/>
    <w:rsid w:val="006E7112"/>
    <w:rsid w:val="006F6918"/>
    <w:rsid w:val="00700307"/>
    <w:rsid w:val="00715080"/>
    <w:rsid w:val="00722562"/>
    <w:rsid w:val="00745131"/>
    <w:rsid w:val="00767D6D"/>
    <w:rsid w:val="00780D41"/>
    <w:rsid w:val="007B5133"/>
    <w:rsid w:val="007B554B"/>
    <w:rsid w:val="007C1435"/>
    <w:rsid w:val="007C3C6B"/>
    <w:rsid w:val="007D7300"/>
    <w:rsid w:val="007F4093"/>
    <w:rsid w:val="007F70F2"/>
    <w:rsid w:val="00810B43"/>
    <w:rsid w:val="00817D30"/>
    <w:rsid w:val="00820A3B"/>
    <w:rsid w:val="00825B9A"/>
    <w:rsid w:val="0083718A"/>
    <w:rsid w:val="008423CB"/>
    <w:rsid w:val="008440E5"/>
    <w:rsid w:val="00856D82"/>
    <w:rsid w:val="00857B29"/>
    <w:rsid w:val="00864E8E"/>
    <w:rsid w:val="008710BB"/>
    <w:rsid w:val="00873DF9"/>
    <w:rsid w:val="00874CD9"/>
    <w:rsid w:val="00877DD2"/>
    <w:rsid w:val="00883D80"/>
    <w:rsid w:val="00894FE6"/>
    <w:rsid w:val="008A372C"/>
    <w:rsid w:val="008A37BB"/>
    <w:rsid w:val="008C32AC"/>
    <w:rsid w:val="008C3509"/>
    <w:rsid w:val="008C5FD1"/>
    <w:rsid w:val="008D0766"/>
    <w:rsid w:val="008D135A"/>
    <w:rsid w:val="008D25DA"/>
    <w:rsid w:val="008D3111"/>
    <w:rsid w:val="008D6D3D"/>
    <w:rsid w:val="008E3CB4"/>
    <w:rsid w:val="009005C1"/>
    <w:rsid w:val="009076F8"/>
    <w:rsid w:val="009104C2"/>
    <w:rsid w:val="00911B39"/>
    <w:rsid w:val="009162E3"/>
    <w:rsid w:val="00917142"/>
    <w:rsid w:val="00923927"/>
    <w:rsid w:val="009249A4"/>
    <w:rsid w:val="00926B78"/>
    <w:rsid w:val="00937C63"/>
    <w:rsid w:val="00941A80"/>
    <w:rsid w:val="00956C4B"/>
    <w:rsid w:val="00957676"/>
    <w:rsid w:val="00963193"/>
    <w:rsid w:val="009670B3"/>
    <w:rsid w:val="009702B4"/>
    <w:rsid w:val="00972E7F"/>
    <w:rsid w:val="00984306"/>
    <w:rsid w:val="0099594D"/>
    <w:rsid w:val="00997BAA"/>
    <w:rsid w:val="009A0982"/>
    <w:rsid w:val="009A160B"/>
    <w:rsid w:val="009D50BA"/>
    <w:rsid w:val="009D78C5"/>
    <w:rsid w:val="009F323E"/>
    <w:rsid w:val="009F6693"/>
    <w:rsid w:val="00A20B5F"/>
    <w:rsid w:val="00A304F3"/>
    <w:rsid w:val="00A5110C"/>
    <w:rsid w:val="00A5784B"/>
    <w:rsid w:val="00A7004D"/>
    <w:rsid w:val="00A712DF"/>
    <w:rsid w:val="00A73658"/>
    <w:rsid w:val="00A876C4"/>
    <w:rsid w:val="00A913FE"/>
    <w:rsid w:val="00AA1D0F"/>
    <w:rsid w:val="00AA20E4"/>
    <w:rsid w:val="00AA3FA9"/>
    <w:rsid w:val="00AA6D20"/>
    <w:rsid w:val="00AB4562"/>
    <w:rsid w:val="00AB48FB"/>
    <w:rsid w:val="00AB4A1E"/>
    <w:rsid w:val="00AB5675"/>
    <w:rsid w:val="00AC7C8F"/>
    <w:rsid w:val="00AD07FF"/>
    <w:rsid w:val="00AD0C8D"/>
    <w:rsid w:val="00AD2704"/>
    <w:rsid w:val="00AD2B0B"/>
    <w:rsid w:val="00AD4355"/>
    <w:rsid w:val="00AE042B"/>
    <w:rsid w:val="00AE4AAF"/>
    <w:rsid w:val="00AF250F"/>
    <w:rsid w:val="00AF2600"/>
    <w:rsid w:val="00AF4779"/>
    <w:rsid w:val="00B026D9"/>
    <w:rsid w:val="00B02AB7"/>
    <w:rsid w:val="00B1185A"/>
    <w:rsid w:val="00B20DCC"/>
    <w:rsid w:val="00B3219B"/>
    <w:rsid w:val="00B42571"/>
    <w:rsid w:val="00B5208C"/>
    <w:rsid w:val="00B530F1"/>
    <w:rsid w:val="00B671F2"/>
    <w:rsid w:val="00BA518A"/>
    <w:rsid w:val="00BB0DED"/>
    <w:rsid w:val="00BB29C5"/>
    <w:rsid w:val="00BC376C"/>
    <w:rsid w:val="00BC4B38"/>
    <w:rsid w:val="00BC4FCB"/>
    <w:rsid w:val="00BE2674"/>
    <w:rsid w:val="00C107E4"/>
    <w:rsid w:val="00C11A98"/>
    <w:rsid w:val="00C12F3A"/>
    <w:rsid w:val="00C16428"/>
    <w:rsid w:val="00C16ABE"/>
    <w:rsid w:val="00C2031B"/>
    <w:rsid w:val="00C31F79"/>
    <w:rsid w:val="00C32C17"/>
    <w:rsid w:val="00C3570E"/>
    <w:rsid w:val="00C43F24"/>
    <w:rsid w:val="00C513E9"/>
    <w:rsid w:val="00C53442"/>
    <w:rsid w:val="00C558EB"/>
    <w:rsid w:val="00C650F7"/>
    <w:rsid w:val="00C7180F"/>
    <w:rsid w:val="00C75700"/>
    <w:rsid w:val="00C819AF"/>
    <w:rsid w:val="00C96DB4"/>
    <w:rsid w:val="00CC6078"/>
    <w:rsid w:val="00CE5A83"/>
    <w:rsid w:val="00CE7A7A"/>
    <w:rsid w:val="00D07489"/>
    <w:rsid w:val="00D11396"/>
    <w:rsid w:val="00D20859"/>
    <w:rsid w:val="00D33710"/>
    <w:rsid w:val="00D3758E"/>
    <w:rsid w:val="00D44304"/>
    <w:rsid w:val="00D476E2"/>
    <w:rsid w:val="00D546B7"/>
    <w:rsid w:val="00D60945"/>
    <w:rsid w:val="00D758A0"/>
    <w:rsid w:val="00D83E33"/>
    <w:rsid w:val="00D84054"/>
    <w:rsid w:val="00D904C2"/>
    <w:rsid w:val="00D93D0C"/>
    <w:rsid w:val="00DB74C4"/>
    <w:rsid w:val="00DC3E15"/>
    <w:rsid w:val="00DE172C"/>
    <w:rsid w:val="00DE22EB"/>
    <w:rsid w:val="00DE329D"/>
    <w:rsid w:val="00DE3C16"/>
    <w:rsid w:val="00DE4F85"/>
    <w:rsid w:val="00DF04BF"/>
    <w:rsid w:val="00DF71FB"/>
    <w:rsid w:val="00E25DC2"/>
    <w:rsid w:val="00E3210B"/>
    <w:rsid w:val="00E32D59"/>
    <w:rsid w:val="00E50E09"/>
    <w:rsid w:val="00E71126"/>
    <w:rsid w:val="00E745A3"/>
    <w:rsid w:val="00E81542"/>
    <w:rsid w:val="00E872B8"/>
    <w:rsid w:val="00E90417"/>
    <w:rsid w:val="00EA1266"/>
    <w:rsid w:val="00EB3D6A"/>
    <w:rsid w:val="00EB5D71"/>
    <w:rsid w:val="00EB6D39"/>
    <w:rsid w:val="00ED619B"/>
    <w:rsid w:val="00ED654B"/>
    <w:rsid w:val="00EE31F5"/>
    <w:rsid w:val="00EF42EC"/>
    <w:rsid w:val="00F048F8"/>
    <w:rsid w:val="00F04AC9"/>
    <w:rsid w:val="00F11430"/>
    <w:rsid w:val="00F1432B"/>
    <w:rsid w:val="00F27BBA"/>
    <w:rsid w:val="00F37196"/>
    <w:rsid w:val="00F37B58"/>
    <w:rsid w:val="00F61DDC"/>
    <w:rsid w:val="00F620A1"/>
    <w:rsid w:val="00F709CF"/>
    <w:rsid w:val="00F72F13"/>
    <w:rsid w:val="00F740EC"/>
    <w:rsid w:val="00F751D4"/>
    <w:rsid w:val="00F769FB"/>
    <w:rsid w:val="00F80302"/>
    <w:rsid w:val="00F80C48"/>
    <w:rsid w:val="00FA6F79"/>
    <w:rsid w:val="00FD2D89"/>
    <w:rsid w:val="00FD6D3B"/>
    <w:rsid w:val="00FE16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8CCA4"/>
  <w15:chartTrackingRefBased/>
  <w15:docId w15:val="{042ECCC5-A70C-4958-B22D-683E3F45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A5784B"/>
    <w:pPr>
      <w:spacing w:after="180"/>
      <w:jc w:val="both"/>
    </w:pPr>
    <w:rPr>
      <w:rFonts w:eastAsiaTheme="minorHAnsi" w:cstheme="minorBidi"/>
      <w:sz w:val="24"/>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A5784B"/>
    <w:pPr>
      <w:tabs>
        <w:tab w:val="center" w:pos="4536"/>
        <w:tab w:val="right" w:pos="9072"/>
      </w:tabs>
      <w:spacing w:after="0"/>
    </w:pPr>
  </w:style>
  <w:style w:type="character" w:customStyle="1" w:styleId="PisMrk">
    <w:name w:val="Päis Märk"/>
    <w:basedOn w:val="Liguvaikefont"/>
    <w:link w:val="Pis"/>
    <w:rsid w:val="00A5784B"/>
    <w:rPr>
      <w:rFonts w:eastAsiaTheme="minorHAnsi" w:cstheme="minorBidi"/>
      <w:sz w:val="24"/>
      <w:szCs w:val="22"/>
      <w:lang w:eastAsia="en-US"/>
    </w:rPr>
  </w:style>
  <w:style w:type="paragraph" w:styleId="Jalus">
    <w:name w:val="footer"/>
    <w:basedOn w:val="Normaallaad"/>
    <w:link w:val="JalusMrk"/>
    <w:unhideWhenUsed/>
    <w:rsid w:val="00A5784B"/>
    <w:pPr>
      <w:tabs>
        <w:tab w:val="center" w:pos="4536"/>
        <w:tab w:val="right" w:pos="9072"/>
      </w:tabs>
      <w:spacing w:after="0"/>
    </w:pPr>
  </w:style>
  <w:style w:type="character" w:customStyle="1" w:styleId="JalusMrk">
    <w:name w:val="Jalus Märk"/>
    <w:basedOn w:val="Liguvaikefont"/>
    <w:link w:val="Jalus"/>
    <w:rsid w:val="00A5784B"/>
    <w:rPr>
      <w:rFonts w:eastAsiaTheme="minorHAnsi" w:cstheme="minorBidi"/>
      <w:sz w:val="24"/>
      <w:szCs w:val="22"/>
      <w:lang w:eastAsia="en-US"/>
    </w:rPr>
  </w:style>
  <w:style w:type="character" w:styleId="Lehekljenumber">
    <w:name w:val="page number"/>
    <w:basedOn w:val="Liguvaikefont"/>
    <w:rsid w:val="00A5784B"/>
  </w:style>
  <w:style w:type="paragraph" w:styleId="Loendilik">
    <w:name w:val="List Paragraph"/>
    <w:basedOn w:val="Normaallaad"/>
    <w:uiPriority w:val="34"/>
    <w:qFormat/>
    <w:rsid w:val="00A5784B"/>
    <w:pPr>
      <w:ind w:left="720"/>
      <w:contextualSpacing/>
    </w:pPr>
  </w:style>
  <w:style w:type="character" w:styleId="Hperlink">
    <w:name w:val="Hyperlink"/>
    <w:basedOn w:val="Liguvaikefont"/>
    <w:uiPriority w:val="99"/>
    <w:unhideWhenUsed/>
    <w:rsid w:val="00A5784B"/>
    <w:rPr>
      <w:color w:val="0563C1" w:themeColor="hyperlink"/>
      <w:u w:val="single"/>
    </w:rPr>
  </w:style>
  <w:style w:type="paragraph" w:customStyle="1" w:styleId="DOKTEKST">
    <w:name w:val="DOK_TEKST"/>
    <w:basedOn w:val="Loendilik"/>
    <w:link w:val="DOKTEKSTMrk"/>
    <w:qFormat/>
    <w:rsid w:val="0083718A"/>
    <w:pPr>
      <w:numPr>
        <w:numId w:val="3"/>
      </w:numPr>
      <w:spacing w:after="120"/>
      <w:ind w:left="0" w:firstLine="0"/>
      <w:contextualSpacing w:val="0"/>
    </w:pPr>
    <w:rPr>
      <w:rFonts w:eastAsia="Times New Roman" w:cs="Times New Roman"/>
      <w:szCs w:val="24"/>
      <w:lang w:eastAsia="et-EE"/>
    </w:rPr>
  </w:style>
  <w:style w:type="character" w:customStyle="1" w:styleId="DOKTEKSTMrk">
    <w:name w:val="DOK_TEKST Märk"/>
    <w:basedOn w:val="Liguvaikefont"/>
    <w:link w:val="DOKTEKST"/>
    <w:rsid w:val="0083718A"/>
    <w:rPr>
      <w:sz w:val="24"/>
      <w:szCs w:val="24"/>
    </w:rPr>
  </w:style>
  <w:style w:type="character" w:styleId="Lahendamatamainimine">
    <w:name w:val="Unresolved Mention"/>
    <w:basedOn w:val="Liguvaikefont"/>
    <w:uiPriority w:val="99"/>
    <w:semiHidden/>
    <w:unhideWhenUsed/>
    <w:rsid w:val="00EB6D39"/>
    <w:rPr>
      <w:color w:val="605E5C"/>
      <w:shd w:val="clear" w:color="auto" w:fill="E1DFDD"/>
    </w:rPr>
  </w:style>
  <w:style w:type="paragraph" w:customStyle="1" w:styleId="Default">
    <w:name w:val="Default"/>
    <w:rsid w:val="008423CB"/>
    <w:pPr>
      <w:autoSpaceDE w:val="0"/>
      <w:autoSpaceDN w:val="0"/>
      <w:adjustRightInd w:val="0"/>
    </w:pPr>
    <w:rPr>
      <w:color w:val="000000"/>
      <w:sz w:val="24"/>
      <w:szCs w:val="24"/>
    </w:rPr>
  </w:style>
  <w:style w:type="paragraph" w:styleId="Allmrkusetekst">
    <w:name w:val="footnote text"/>
    <w:basedOn w:val="Normaallaad"/>
    <w:link w:val="AllmrkusetekstMrk"/>
    <w:rsid w:val="001E3951"/>
    <w:pPr>
      <w:spacing w:after="0"/>
    </w:pPr>
    <w:rPr>
      <w:sz w:val="20"/>
      <w:szCs w:val="20"/>
    </w:rPr>
  </w:style>
  <w:style w:type="character" w:customStyle="1" w:styleId="AllmrkusetekstMrk">
    <w:name w:val="Allmärkuse tekst Märk"/>
    <w:basedOn w:val="Liguvaikefont"/>
    <w:link w:val="Allmrkusetekst"/>
    <w:rsid w:val="001E3951"/>
    <w:rPr>
      <w:rFonts w:eastAsiaTheme="minorHAnsi" w:cstheme="minorBidi"/>
      <w:lang w:eastAsia="en-US"/>
    </w:rPr>
  </w:style>
  <w:style w:type="character" w:styleId="Allmrkuseviide">
    <w:name w:val="footnote reference"/>
    <w:basedOn w:val="Liguvaikefont"/>
    <w:rsid w:val="001E3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1002</Words>
  <Characters>7077</Characters>
  <Application>Microsoft Office Word</Application>
  <DocSecurity>0</DocSecurity>
  <Lines>58</Lines>
  <Paragraphs>16</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Tristan Ploom</cp:lastModifiedBy>
  <cp:revision>3</cp:revision>
  <cp:lastPrinted>2020-09-14T11:58:00Z</cp:lastPrinted>
  <dcterms:created xsi:type="dcterms:W3CDTF">2025-05-08T13:05:00Z</dcterms:created>
  <dcterms:modified xsi:type="dcterms:W3CDTF">2025-05-08T13:34:00Z</dcterms:modified>
</cp:coreProperties>
</file>